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675FC">
      <w:pPr>
        <w:keepNext w:val="0"/>
        <w:keepLines w:val="0"/>
        <w:pageBreakBefore w:val="0"/>
        <w:widowControl/>
        <w:numPr>
          <w:ilvl w:val="-1"/>
          <w:numId w:val="0"/>
        </w:numPr>
        <w:kinsoku/>
        <w:wordWrap/>
        <w:overflowPunct/>
        <w:topLinePunct w:val="0"/>
        <w:autoSpaceDE/>
        <w:autoSpaceDN/>
        <w:bidi w:val="0"/>
        <w:adjustRightInd/>
        <w:snapToGrid/>
        <w:ind w:left="0" w:leftChars="0" w:firstLine="0" w:firstLineChars="0"/>
        <w:textAlignment w:val="auto"/>
        <w:rPr>
          <w:rFonts w:hint="eastAsia" w:eastAsia="方正仿宋_GBK"/>
          <w:b/>
          <w:bCs/>
          <w:sz w:val="28"/>
          <w:szCs w:val="28"/>
          <w:lang w:val="en-US" w:eastAsia="zh-CN"/>
        </w:rPr>
      </w:pPr>
      <w:r>
        <w:rPr>
          <w:rFonts w:hint="eastAsia"/>
          <w:b/>
          <w:bCs/>
          <w:sz w:val="28"/>
          <w:szCs w:val="28"/>
          <w:woUserID w:val="1"/>
        </w:rPr>
        <w:t>Attachment</w:t>
      </w:r>
      <w:r>
        <w:rPr>
          <w:rFonts w:hint="eastAsia"/>
          <w:b/>
          <w:bCs/>
          <w:sz w:val="28"/>
          <w:szCs w:val="28"/>
        </w:rPr>
        <w:t xml:space="preserve"> </w:t>
      </w:r>
      <w:r>
        <w:rPr>
          <w:rFonts w:hint="eastAsia"/>
          <w:b/>
          <w:bCs/>
          <w:sz w:val="28"/>
          <w:szCs w:val="28"/>
          <w:lang w:eastAsia="zh-CN"/>
        </w:rPr>
        <w:t>1</w:t>
      </w:r>
      <w:r>
        <w:rPr>
          <w:rFonts w:hint="eastAsia"/>
          <w:b/>
          <w:bCs/>
          <w:sz w:val="28"/>
          <w:szCs w:val="28"/>
        </w:rPr>
        <w:t>-2026 AIC Explanation of the Algorithm Innovation Competition Questions</w:t>
      </w:r>
      <w:r>
        <w:rPr>
          <w:rFonts w:hint="eastAsia"/>
          <w:b/>
          <w:bCs/>
          <w:sz w:val="28"/>
          <w:szCs w:val="28"/>
          <w:lang w:val="en-US" w:eastAsia="zh-CN"/>
        </w:rPr>
        <w:t>:</w:t>
      </w:r>
    </w:p>
    <w:p w14:paraId="2B8B2B52">
      <w:pPr>
        <w:keepNext w:val="0"/>
        <w:keepLines w:val="0"/>
        <w:pageBreakBefore w:val="0"/>
        <w:widowControl w:val="0"/>
        <w:numPr>
          <w:ilvl w:val="-1"/>
          <w:numId w:val="0"/>
        </w:numPr>
        <w:kinsoku/>
        <w:wordWrap/>
        <w:overflowPunct/>
        <w:topLinePunct w:val="0"/>
        <w:autoSpaceDE/>
        <w:autoSpaceDN/>
        <w:bidi w:val="0"/>
        <w:adjustRightInd/>
        <w:snapToGrid/>
        <w:ind w:left="0" w:leftChars="0" w:firstLine="0" w:firstLineChars="0"/>
        <w:jc w:val="center"/>
        <w:textAlignment w:val="auto"/>
        <w:rPr>
          <w:rFonts w:hint="default"/>
          <w:b/>
          <w:bCs/>
          <w:sz w:val="28"/>
          <w:szCs w:val="28"/>
        </w:rPr>
      </w:pPr>
      <w:r>
        <w:rPr>
          <w:rFonts w:hint="eastAsia"/>
          <w:b/>
          <w:bCs/>
          <w:sz w:val="28"/>
          <w:szCs w:val="28"/>
          <w:lang w:val="en-US" w:eastAsia="zh-CN"/>
        </w:rPr>
        <w:t>T</w:t>
      </w:r>
      <w:r>
        <w:rPr>
          <w:rFonts w:hint="default"/>
          <w:b/>
          <w:bCs/>
          <w:sz w:val="28"/>
          <w:szCs w:val="28"/>
        </w:rPr>
        <w:t>he Eighth Global Campus Artificial Intelligence Algorithm Elite Competition</w:t>
      </w:r>
      <w:r>
        <w:rPr>
          <w:rFonts w:hint="eastAsia"/>
          <w:b/>
          <w:bCs/>
          <w:sz w:val="28"/>
          <w:szCs w:val="28"/>
          <w:lang w:val="en-US" w:eastAsia="zh-CN"/>
        </w:rPr>
        <w:t xml:space="preserve"> </w:t>
      </w:r>
      <w:r>
        <w:rPr>
          <w:rFonts w:hint="default"/>
          <w:b/>
          <w:bCs/>
          <w:sz w:val="28"/>
          <w:szCs w:val="28"/>
        </w:rPr>
        <w:t>Algorithm Innovation Competition Rules</w:t>
      </w:r>
    </w:p>
    <w:p w14:paraId="5BB03F3B">
      <w:pPr>
        <w:keepNext w:val="0"/>
        <w:keepLines w:val="0"/>
        <w:pageBreakBefore w:val="0"/>
        <w:widowControl w:val="0"/>
        <w:numPr>
          <w:ilvl w:val="-1"/>
          <w:numId w:val="0"/>
        </w:numPr>
        <w:kinsoku/>
        <w:wordWrap/>
        <w:overflowPunct/>
        <w:topLinePunct w:val="0"/>
        <w:autoSpaceDE/>
        <w:autoSpaceDN/>
        <w:bidi w:val="0"/>
        <w:adjustRightInd/>
        <w:snapToGrid/>
        <w:ind w:left="0" w:leftChars="0" w:firstLine="0" w:firstLineChars="0"/>
        <w:textAlignment w:val="auto"/>
        <w:rPr>
          <w:rFonts w:hint="default"/>
          <w:b/>
          <w:bCs/>
          <w:sz w:val="28"/>
          <w:szCs w:val="28"/>
        </w:rPr>
      </w:pPr>
    </w:p>
    <w:p w14:paraId="7F61B177">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b/>
          <w:bCs/>
          <w:sz w:val="28"/>
          <w:szCs w:val="28"/>
        </w:rPr>
        <w:t>I. Competition Objectives</w:t>
      </w:r>
    </w:p>
    <w:p w14:paraId="64E5123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Focusing on breakthroughs in algorithm technologies, product innovation, scenario-based applications, and entrepreneurial practice across the entire innovation chain, the competition aims to inspire young people around the world to pursue innovation in artificial intelligence. The competition covers diverse areas, including innovation in algorithm models and technologies, software-hardware integration, industry empowerment, interdisciplinary applications, and individual entrepreneurship. Through the competition, participants will develop scientific research thinking, engineering practice capabilities, and business literacy; promote the deep integration of artificial intelligence with academic development, industrial growth, and societal needs; identify innovative achievements with originality, feasibility, and application value; foster collaborative innovation among industry, academia, research, and application; and cultivate young talent for the AI industry with both technical competence and an innovative spirit.</w:t>
      </w:r>
    </w:p>
    <w:p w14:paraId="6CE3E6CD">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 General Requirements for Entries</w:t>
      </w:r>
    </w:p>
    <w:p w14:paraId="37880074">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eastAsia"/>
          <w:b/>
          <w:bCs/>
          <w:sz w:val="28"/>
          <w:szCs w:val="28"/>
          <w:lang w:val="en-US" w:eastAsia="zh-CN"/>
        </w:rPr>
        <w:t>1.</w:t>
      </w:r>
      <w:r>
        <w:rPr>
          <w:rFonts w:hint="default"/>
          <w:b/>
          <w:bCs/>
          <w:sz w:val="28"/>
          <w:szCs w:val="28"/>
        </w:rPr>
        <w:t xml:space="preserve"> Originality and Authenticity</w:t>
      </w:r>
    </w:p>
    <w:p w14:paraId="5B6FC0E9">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Entries must be original, possess independent intellectual property rights, and use authentic and reliable data, cases, and other supporting materials. If technologies, algorithms, or data from others are cited, they must be clearly identified in the submission materials. Entries must comply with national laws and regulations as well as social and ethical norms, and must not contain sensitive, violent, privacy-infringing, or discriminatory content. Fabrication, plagiarism, ghostwriting, or other forms of competition misconduct are strictly prohibited. Any verified violation will result in disqualification and public notification.</w:t>
      </w:r>
    </w:p>
    <w:p w14:paraId="1B129813">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eastAsia"/>
          <w:b/>
          <w:bCs/>
          <w:sz w:val="28"/>
          <w:szCs w:val="28"/>
          <w:lang w:val="en-US" w:eastAsia="zh-CN"/>
        </w:rPr>
        <w:t>2.</w:t>
      </w:r>
      <w:r>
        <w:rPr>
          <w:rFonts w:hint="default"/>
          <w:b/>
          <w:bCs/>
          <w:sz w:val="28"/>
          <w:szCs w:val="28"/>
        </w:rPr>
        <w:t xml:space="preserve"> Innovation and Advancement</w:t>
      </w:r>
    </w:p>
    <w:p w14:paraId="6AB5A99A">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Entries should demonstrate significant innovation in the application of artificial intelligence technologies. Compared with similar work, they should show advanced performance in technical indicators, application effectiveness, or related aspects and reflect the frontier development of AI technologies.</w:t>
      </w:r>
    </w:p>
    <w:p w14:paraId="4F6B2706">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eastAsia"/>
          <w:b/>
          <w:bCs/>
          <w:sz w:val="28"/>
          <w:szCs w:val="28"/>
          <w:lang w:val="en-US" w:eastAsia="zh-CN"/>
        </w:rPr>
        <w:t>3.</w:t>
      </w:r>
      <w:r>
        <w:rPr>
          <w:rFonts w:hint="default"/>
          <w:b/>
          <w:bCs/>
          <w:sz w:val="28"/>
          <w:szCs w:val="28"/>
        </w:rPr>
        <w:t xml:space="preserve"> Practicality and Maturity</w:t>
      </w:r>
    </w:p>
    <w:p w14:paraId="092A474B">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Entries must have practical application value. They should either have been applied in real-world scenarios with good results and provide clear application cases and supporting data, or demonstrate the potential for practical deployment together with a feasible implementation plan.</w:t>
      </w:r>
    </w:p>
    <w:p w14:paraId="7F9F3107">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eastAsia"/>
          <w:b/>
          <w:bCs/>
          <w:sz w:val="28"/>
          <w:szCs w:val="28"/>
          <w:lang w:val="en-US" w:eastAsia="zh-CN"/>
        </w:rPr>
        <w:t>4.</w:t>
      </w:r>
      <w:r>
        <w:rPr>
          <w:rFonts w:hint="default"/>
          <w:b/>
          <w:bCs/>
          <w:sz w:val="28"/>
          <w:szCs w:val="28"/>
        </w:rPr>
        <w:t xml:space="preserve"> Completeness and Standardization</w:t>
      </w:r>
    </w:p>
    <w:p w14:paraId="1234373F">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All materials must be submitted strictly in accordance with the specified submission requirements. The materials should be detailed, logically organized, and properly formatted, and should comprehensively present the core content, innovations, application value, and development prospects of the entry. Failure to comply with the required standards may affect scoring or result in direct disqualification from evaluation.</w:t>
      </w:r>
    </w:p>
    <w:p w14:paraId="03271BBF">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eastAsia"/>
          <w:b/>
          <w:bCs/>
          <w:sz w:val="28"/>
          <w:szCs w:val="28"/>
          <w:lang w:val="en-US" w:eastAsia="zh-CN"/>
        </w:rPr>
        <w:t>5.</w:t>
      </w:r>
      <w:r>
        <w:rPr>
          <w:rFonts w:hint="default"/>
          <w:b/>
          <w:bCs/>
          <w:sz w:val="28"/>
          <w:szCs w:val="28"/>
        </w:rPr>
        <w:t xml:space="preserve"> Fairness</w:t>
      </w:r>
    </w:p>
    <w:p w14:paraId="44D3774B">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To ensure a fair and impartial evaluation process, competition materials, including project proposals, demonstration videos, and presentation slides, must not contain the name or logo of the participating team's institution, information about instructors, or similar identifying information. Teams must carefully review all materials before submission to avoid point deductions or disqualification caused by non-compliance.</w:t>
      </w:r>
    </w:p>
    <w:p w14:paraId="70511C6D">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sz w:val="28"/>
          <w:szCs w:val="28"/>
        </w:rPr>
      </w:pPr>
      <w:r>
        <w:rPr>
          <w:rFonts w:hint="default"/>
          <w:b/>
          <w:bCs/>
          <w:sz w:val="28"/>
          <w:szCs w:val="28"/>
        </w:rPr>
        <w:t>Track 1: Algorithm &amp; Model Innovation</w:t>
      </w:r>
    </w:p>
    <w:p w14:paraId="4F452211">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 Track Description</w:t>
      </w:r>
    </w:p>
    <w:p w14:paraId="364670A6">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This track focuses on original innovation and optimization breakthroughs in fundamental AI algorithms. Participants are encouraged to explore new models and frameworks in areas such as machine learning, reinforcement learning, computer vision, natural language processing, data mining, large models, and AI agents, or to make innovative improvements to key indicators of existing algorithms, such as accuracy, efficiency, and energy consumption. Particular emphasis is placed on algorithm-model innovation, technological advancement, and scientific value. Interdisciplinary algorithm research is encouraged to address algorithmic bottlenecks in real-world scenarios.</w:t>
      </w:r>
    </w:p>
    <w:p w14:paraId="0C073D4B">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 Suggested Scope of Entries</w:t>
      </w:r>
    </w:p>
    <w:p w14:paraId="5492172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Including but not limited to: (1) Algorithm model optimization and breakthroughs: research achievements featuring theoretical breakthroughs or technical improvements in large models and AI agents, high-quality datasets and data spaces, computing-resource scheduling and optimization, edge computing, data mining, new detection/segmentation models in computer vision, new frameworks for semantic understanding in natural language processing, reinforcement-learning decision optimization algorithms, lightweight models for low-resource scenarios, multimodal fusion algorithms, efficiency/accuracy optimization of traditional algorithms, federated learning/privacy-preserving computing, and related areas; (2) Algorithm model innovation in emerging technologies: innovations in fields such as AI chips, intelligent sensors, smart terminals, robotics, autonomous driving, unmanned aerial vehicles, unmanned surface vessels, brain-computer interfaces, embodied intelligence, and quantum computing; (3) Algorithm model innovation for industry scenarios: deployable algorithm models designed to address pain points in finance, healthcare, education, industry, agriculture, transportation, environmental protection, new energy, new materials, biomedicine, the low-altitude economy, aerospace, and other sectors.</w:t>
      </w:r>
    </w:p>
    <w:p w14:paraId="636D3EE2">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III. Entry Requirements</w:t>
      </w:r>
    </w:p>
    <w:p w14:paraId="6737C38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1. Entries must focus on core algorithm technologies, including but not limited to model-architecture innovation, improvements to optimization strategies, and multi-algorithm fusion, and must clearly demonstrate the key technological breakthroughs.</w:t>
      </w:r>
    </w:p>
    <w:p w14:paraId="20CA5F5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2. Submission materials must include a complete technical solution covering problem definition, algorithm design, mathematical derivation, experimental validation, and related content. Authentic and valid experimental data, such as accuracy or percentage efficiency improvement, as well as comparative analysis, must be provided.</w:t>
      </w:r>
    </w:p>
    <w:p w14:paraId="1EA2AD71">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3. The algorithm must undergo rigorous testing and validation. Open-source code or configuration instructions for a reproducible experimental environment may be provided to ensure verifiability of the results.</w:t>
      </w:r>
    </w:p>
    <w:p w14:paraId="17D8338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4. Entries must be original and free of intellectual-property disputes. Any third-party technologies or data used must be clearly identified and legally authorized.</w:t>
      </w:r>
    </w:p>
    <w:p w14:paraId="420123BA">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5. Lightweight algorithm innovation addressing emerging needs such as edge computing and low-resource scenarios is encouraged. The solution should explain its suitability for the intended application scenario.</w:t>
      </w:r>
    </w:p>
    <w:p w14:paraId="1772F8AD">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6. The technical solution must be logically organized and properly formatted, with clear emphasis on innovations and technical advantages, and should avoid vague or overly general descriptions.</w:t>
      </w:r>
    </w:p>
    <w:p w14:paraId="79BF8E85">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textAlignment w:val="auto"/>
        <w:rPr>
          <w:rFonts w:hint="default"/>
          <w:sz w:val="28"/>
          <w:szCs w:val="28"/>
        </w:rPr>
      </w:pPr>
    </w:p>
    <w:p w14:paraId="16A02070">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sz w:val="28"/>
          <w:szCs w:val="28"/>
        </w:rPr>
      </w:pPr>
      <w:r>
        <w:rPr>
          <w:rFonts w:hint="default"/>
          <w:b/>
          <w:bCs/>
          <w:sz w:val="28"/>
          <w:szCs w:val="28"/>
        </w:rPr>
        <w:t>Track 2: AI + Software Innovation</w:t>
      </w:r>
    </w:p>
    <w:p w14:paraId="3B93A73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 Track Description</w:t>
      </w:r>
    </w:p>
    <w:p w14:paraId="7B5591C2">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This track promotes the engineering implementation of AI algorithms and innovation in software products, encouraging participants to transform algorithmic technologies into software products with practical application value. By bridging algorithms and software engineering, the competition aims to help participants develop end-to-end capabilities from technology research and development to product deployment, including requirements analysis, architecture design, development and testing, and user-experience optimization.</w:t>
      </w:r>
    </w:p>
    <w:p w14:paraId="16D5033E">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 Suggested Scope of Entries</w:t>
      </w:r>
    </w:p>
    <w:p w14:paraId="32045C75">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Including but not limited to: foundational and general-purpose software and tools related to computing power, algorithms, and data; AI-assisted design tools; AIGC content-generation platforms for text, images, audio, and video; intelligent analysis systems; multimodal interaction software; large-model fine-tuning application tools; intelligent office/learning plug-ins; AI agents; and algorithm-driven desktop, Web, and mobile AI applications, including online services. There are no restrictions on development platforms, development environments, or programming languages, nor on product functions, purposes, industries, or application scenarios.</w:t>
      </w:r>
    </w:p>
    <w:p w14:paraId="229AAD6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III. Entry Requirements</w:t>
      </w:r>
    </w:p>
    <w:p w14:paraId="364983BE">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1. Entries must be fully developed software products with complete core functional modules and no major technical defects.</w:t>
      </w:r>
    </w:p>
    <w:p w14:paraId="08BBA00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2. The software must deeply integrate AI algorithms. Algorithm applications should closely align with product functions, clearly demonstrate the value enabled by the technology, and avoid a disconnect between the algorithm and the software.</w:t>
      </w:r>
    </w:p>
    <w:p w14:paraId="3C5D785E">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3. Submission materials must include software documentation, a functional demonstration video, a description of the core algorithms, a test report, and related materials, and must clearly specify the technology stack, runtime environment, and deployment method.</w:t>
      </w:r>
    </w:p>
    <w:p w14:paraId="6A4C00E6">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4. The software must offer good compatibility and usability. An online demonstration link or installable software package may be provided to facilitate evaluation and verification.</w:t>
      </w:r>
    </w:p>
    <w:p w14:paraId="54286F7F">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5. The submission must explain the software's innovations and differentiated advantages, including functional innovation, user-experience optimization, and technical-architecture innovation. User feedback or pilot-application data may also be provided.</w:t>
      </w:r>
    </w:p>
    <w:p w14:paraId="0438C85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6. Entries must comply with national laws and regulations and relevant industry standards, and must possess independent intellectual property rights or valid legal authorization.</w:t>
      </w:r>
    </w:p>
    <w:p w14:paraId="5A9D8A0A">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p>
    <w:p w14:paraId="7D805701">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jc w:val="center"/>
        <w:textAlignment w:val="auto"/>
        <w:rPr>
          <w:rFonts w:hint="default"/>
          <w:sz w:val="28"/>
          <w:szCs w:val="28"/>
        </w:rPr>
      </w:pPr>
      <w:r>
        <w:rPr>
          <w:rFonts w:hint="default"/>
          <w:b/>
          <w:bCs/>
          <w:sz w:val="28"/>
          <w:szCs w:val="28"/>
        </w:rPr>
        <w:t>Track 3: AI + Hardware Innovation</w:t>
      </w:r>
    </w:p>
    <w:p w14:paraId="7A074FBA">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 Track Description</w:t>
      </w:r>
    </w:p>
    <w:p w14:paraId="21C58DB6">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This track focuses on collaborative innovation between AI algorithms and hardware and encourages participants to develop intelligent hardware products adapted to AI algorithms. The competition promotes efficient deployment of algorithms on hardware platforms and broader adoption of AI technologies in end devices. Particular emphasis is placed on hardware innovation, algorithm compatibility, and engineering feasibility. Participants are encouraged to develop intelligent hardware with high cost-effectiveness, high reliability, and strong market potential for specific application scenarios.</w:t>
      </w:r>
    </w:p>
    <w:p w14:paraId="46DB42AF">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 Suggested Scope of Entries</w:t>
      </w:r>
    </w:p>
    <w:p w14:paraId="1F31526E">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Including but not limited to: AI-specific accelerator chips/modules; edge-computing gateways with integrated inference algorithms; intelligent sensor terminals, such as visual or auditory recognition hardware; AI-driven intelligent hardware, such as robots, robotic dogs, unmanned aerial vehicles, autonomous vehicles, unmanned surface vessels, smart toys, smart wearable products, and brain-computer interface devices; and various intelligent terminal products for office work, daily life, entertainment, culture and tourism, education, healthcare, rehabilitation, sports, transportation, security, smart home appliances, and other fields.</w:t>
      </w:r>
    </w:p>
    <w:p w14:paraId="3BB9DB50">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III. Entry Requirements</w:t>
      </w:r>
    </w:p>
    <w:p w14:paraId="0B1B403D">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1. Entries may be self-developed or DIY hardware prototypes, proof-of-concept units, or laboratory products. They must incorporate independently designed or optimized AI algorithms, or implement specific functions by invoking algorithms from online platforms or connecting to large models/AI agents. The use of open-source hardware platforms or independently developed hardware architectures is encouraged.</w:t>
      </w:r>
    </w:p>
    <w:p w14:paraId="5ECCDDBB">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2. The hardware must clearly specify core technical parameters, including functional parameters, performance indicators, and algorithm execution efficiency, supported by measured test data.</w:t>
      </w:r>
    </w:p>
    <w:p w14:paraId="2F4DBC90">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3. The hardware must provide basic stability and safety and should support an on-site demonstration or a detailed demonstration video that clearly presents the core functions and algorithm performance.</w:t>
      </w:r>
    </w:p>
    <w:p w14:paraId="1D99381E">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4. Submission materials must include the hardware design plan, circuit schematic, algorithm deployment instructions, functional demonstration video, test report, and related materials.</w:t>
      </w:r>
    </w:p>
    <w:p w14:paraId="093154E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5. The technical solution must highlight innovations, such as distinctive algorithm-design approaches, software-hardware co-optimization strategies, and scenario-specific adaptation and optimization.</w:t>
      </w:r>
    </w:p>
    <w:p w14:paraId="73D0A9F7">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6. Entries must comply with relevant industry standards and be free of intellectual-property disputes. If hazardous components are involved, safety-protection instructions must be provided.</w:t>
      </w:r>
    </w:p>
    <w:p w14:paraId="7AFF9F90">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p>
    <w:p w14:paraId="2CC2ABC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sz w:val="28"/>
          <w:szCs w:val="28"/>
        </w:rPr>
      </w:pPr>
      <w:r>
        <w:rPr>
          <w:rFonts w:hint="default"/>
          <w:b/>
          <w:bCs/>
          <w:sz w:val="28"/>
          <w:szCs w:val="28"/>
        </w:rPr>
        <w:t>Track 4: AI + Scenario Innovation</w:t>
      </w:r>
    </w:p>
    <w:p w14:paraId="05EF83D4">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 Track Description</w:t>
      </w:r>
    </w:p>
    <w:p w14:paraId="00415C5A">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Participating teams are encouraged to identify social and industry needs, technological trends, and industry pain points, and to combine frontier technologies such as large models and AI agents with AI software and hardware products to explore new AI-enabled applications, services, business forms, and models. The goal is to create scenario-based solutions with disruptive potential, social benefits, or commercial value.</w:t>
      </w:r>
    </w:p>
    <w:p w14:paraId="3AC65561">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 Suggested Scope of Entries</w:t>
      </w:r>
    </w:p>
    <w:p w14:paraId="6F2F8E8E">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Including but not limited to: there are no restrictions on the industries or fields in which entries may be applied. Participants are encouraged to select a specific subfield or application scenario within key areas such as "AI +" science and technology, industry, consumption, public welfare, and governance, and submit a scenario-based solution with practical application value. Scenarios may be large or small; emphasis is placed on scenario innovation, technological suitability, and practical implementation.</w:t>
      </w:r>
    </w:p>
    <w:p w14:paraId="55C23F84">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III. Entry Requirements</w:t>
      </w:r>
    </w:p>
    <w:p w14:paraId="550EE5F2">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1. Entries must focus on the core theme of "scenario innovation," clearly demonstrate the novelty of the scenario, and explain in detail the background of scenario identification, user pain points, and unmet needs, while avoiding duplication of existing mature application scenarios.</w:t>
      </w:r>
    </w:p>
    <w:p w14:paraId="51D84C7D">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2. The solution must deeply integrate AI technologies or software/hardware products. Technology or product selection must closely match scenario requirements and reflect the core logic of "technology empowering the scenario," avoiding a disconnect between technology and the scenario.</w:t>
      </w:r>
    </w:p>
    <w:p w14:paraId="3B8ADB7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3. The solution must highlight scenario innovations and differentiated advantages, including the uniqueness of scenario identification, innovation in technology application, and optimization of user experience, and should explain the key differences compared with similar scenarios or traditional solutions.</w:t>
      </w:r>
    </w:p>
    <w:p w14:paraId="762BAB22">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4. The solution must be feasible for practical implementation and should explain implementation conditions, resource requirements, and the path to broader adoption. Participants are encouraged to provide evidence of implementation based on specific industry resources or pilot scenarios and to demonstrate social benefits or commercial potential.</w:t>
      </w:r>
    </w:p>
    <w:p w14:paraId="44B195B2">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5. Entries must comply with national laws and regulations and industry ethical standards. For scenarios involving user privacy, public safety, or similar issues, compliance explanations must be provided. Data use must be lawful and compliant, and the rights and interests of all relevant stakeholders must be respected.</w:t>
      </w:r>
    </w:p>
    <w:p w14:paraId="74C59ABE">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sz w:val="28"/>
          <w:szCs w:val="28"/>
        </w:rPr>
      </w:pPr>
      <w:r>
        <w:rPr>
          <w:rFonts w:hint="default"/>
          <w:b/>
          <w:bCs/>
          <w:sz w:val="28"/>
          <w:szCs w:val="28"/>
        </w:rPr>
        <w:t>Track 5: AI + Interdisciplinary Innovation</w:t>
      </w:r>
    </w:p>
    <w:p w14:paraId="491376C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 Track Description</w:t>
      </w:r>
    </w:p>
    <w:p w14:paraId="1D66C21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This track focuses on deep interdisciplinary innovation through the integration of AI with academic disciplines. Teams are encouraged to build on a specific discipline or major, covering science, engineering, agriculture, medicine, humanities, law, economics, management, and other fields, and to use AI technologies or products to empower key activities such as theoretical research, scientific inquiry, teaching practice, laboratory and practical training, and self-directed learning. The competition aims to promote deep adaptation between AI technologies and disciplinary characteristics, explore new methods for disciplinary development, discover new knowledge in specific fields, and cultivate new professional application skills.</w:t>
      </w:r>
    </w:p>
    <w:p w14:paraId="5182A9D3">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 Suggested Scope of Entries</w:t>
      </w:r>
    </w:p>
    <w:p w14:paraId="2C1486B6">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Including but not limited to: data analysis and modeling in the sciences; intelligent assistance for simulation and design in engineering; clinical-skills training in medicine; literature mining and analysis in the humanities; personalized teaching recommendations in education; intelligent guidance for disciplinary experiments and practical training; research-data processing and visualization; and other AI-enabled ideas, pathways, software/hardware products, and solutions tailored to the development of specific disciplines.</w:t>
      </w:r>
    </w:p>
    <w:p w14:paraId="3374DA73">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III. Entry Requirements</w:t>
      </w:r>
    </w:p>
    <w:p w14:paraId="404ECB50">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1. Entries must clearly focus on a specific academic discipline or major, with the disciplinary field and application scenario clearly defined in the solution. The work must address at least one core activity within that discipline, such as theoretical research, teaching, experimentation, scientific research, or learning, and demonstrate the empowering value of AI technology.</w:t>
      </w:r>
    </w:p>
    <w:p w14:paraId="694E5FD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2. Entries must deeply integrate AI technologies with the needs of the relevant discipline or major and avoid a disconnect between the technology and the disciplinary scenario.</w:t>
      </w:r>
    </w:p>
    <w:p w14:paraId="5F13D708">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3. Submission materials must include a complete technical solution, including a disciplinary-needs analysis report, an AI technology application plan, a description of the entry's functions, and evidence validating its effectiveness, such as teaching-pilot data, proof of improved research efficiency, or user feedback. Interdisciplinary teams must explain member responsibilities and collaboration mechanisms.</w:t>
      </w:r>
    </w:p>
    <w:p w14:paraId="5DF0924F">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4. Entries must highlight their innovations, including but not limited to new methods for solving disciplinary problems, new models for teaching and research, and new application scenarios for technology, and should explain their advantages compared with traditional approaches to disciplinary development.</w:t>
      </w:r>
    </w:p>
    <w:p w14:paraId="6FDC3B97">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5. Entries must be feasible and have potential for broader adoption. The submission should explain the conditions for reuse in similar disciplines or institutions, implementation costs, and the deployment pathway. Small-scale pilot application cases are encouraged.</w:t>
      </w:r>
    </w:p>
    <w:p w14:paraId="28167DCA">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6. Entries must comply with relevant disciplinary norms and education-industry standards and be free of intellectual-property disputes. Where teaching data or research outcomes are involved, valid authorization must be provided and academic ethics must be respected.</w:t>
      </w:r>
    </w:p>
    <w:p w14:paraId="727446AA">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p>
    <w:p w14:paraId="127C076B">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sz w:val="28"/>
          <w:szCs w:val="28"/>
        </w:rPr>
      </w:pPr>
      <w:r>
        <w:rPr>
          <w:rFonts w:hint="default"/>
          <w:b/>
          <w:bCs/>
          <w:sz w:val="28"/>
          <w:szCs w:val="28"/>
        </w:rPr>
        <w:t>Track 6: AI + Innovation &amp; Entrepreneurship</w:t>
      </w:r>
    </w:p>
    <w:p w14:paraId="710A3DF3">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 Track Description</w:t>
      </w:r>
    </w:p>
    <w:p w14:paraId="41EB0B0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This track focuses on the commercialization of AI scientific and technological achievements. Participants are encouraged to identify business opportunities with AI technology as the core, form entrepreneurial teams, and develop entrepreneurial projects with market potential. The competition guides participants in integrating technological innovation with business needs, developing entrepreneurial skills such as business-plan writing, market analysis, and business-model design, connecting with investment and industry resources, and accelerating project incubation. Particular emphasis is placed on technological innovation, commercial feasibility, and team execution.</w:t>
      </w:r>
    </w:p>
    <w:p w14:paraId="097902AF">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 Suggested Scope of Entries</w:t>
      </w:r>
    </w:p>
    <w:p w14:paraId="6727B3FB">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Including but not limited to: intelligent software and hardware products, vertical-domain AI SaaS platforms, commercial AIGC application projects, AI-based innovative service models, AI-driven ToB industry solutions, and other entrepreneurial projects with potential for commercial implementation.</w:t>
      </w:r>
    </w:p>
    <w:p w14:paraId="2E55634D">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III. Entry Requirements</w:t>
      </w:r>
    </w:p>
    <w:p w14:paraId="1129176D">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1. Participating projects must use AI algorithms as their core competitive strength and have a clearly defined product or service offering. A complete business plan must be submitted, covering core sections such as the project summary, industry analysis, introduction to the product's core technologies, business model, and financial projections.</w:t>
      </w:r>
    </w:p>
    <w:p w14:paraId="4DC3B3F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2. The business plan must be logically organized and sufficiently supported by data. Market analysis should draw on authoritative data, and the business model must clearly explain the path to profitability and the logic of growth.</w:t>
      </w:r>
    </w:p>
    <w:p w14:paraId="71716124">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3. The project must demonstrate technological innovation and market competitiveness and must explain the advantages of its core algorithms, its intellectual-property strategy, such as patents and software copyrights, and its competitive barriers.</w:t>
      </w:r>
    </w:p>
    <w:p w14:paraId="68473F73">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4. Evidence of project progress must be provided, such as prototypes, test data, user feedback, or letters of intent for cooperation, to enhance the credibility of the project.</w:t>
      </w:r>
    </w:p>
    <w:p w14:paraId="1A65F80A">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5. The project must comply with national laws, regulations, and industrial policies, and must be free of intellectual-property disputes. Financial projections must be reasonable and prudent and should avoid overstating expected profitability.</w:t>
      </w:r>
    </w:p>
    <w:p w14:paraId="12F66593">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p>
    <w:p w14:paraId="410EC776">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b/>
          <w:bCs/>
          <w:sz w:val="28"/>
          <w:szCs w:val="28"/>
        </w:rPr>
      </w:pPr>
      <w:r>
        <w:rPr>
          <w:rFonts w:hint="default"/>
          <w:b/>
          <w:bCs/>
          <w:sz w:val="28"/>
          <w:szCs w:val="28"/>
        </w:rPr>
        <w:t>Track 7: AI + One Person Company (OPC)</w:t>
      </w:r>
    </w:p>
    <w:p w14:paraId="59158FDE">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 Track Description</w:t>
      </w:r>
    </w:p>
    <w:p w14:paraId="515BB8E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This track focuses on the lightweight innovation model of "AI + individual entrepreneurship." Participants are encouraged to act independently, use AI technologies to identify needs in niche markets, and create products, services, or business models with market potential through human-AI collaboration, thereby lowering the threshold for entrepreneurship and stimulating individual innovation. The competition encourages participants to deeply integrate AI technologies with their personal strengths and market pain points, develop the ability to independently operate AI technologies and tools, coordinate technology R&amp;D, product design, market analysis, and commercial implementation, and explore a new "</w:t>
      </w:r>
      <w:r>
        <w:rPr>
          <w:sz w:val="28"/>
          <w:szCs w:val="28"/>
        </w:rPr>
        <w:t>one person, one company</w:t>
      </w:r>
      <w:r>
        <w:rPr>
          <w:rFonts w:hint="default"/>
          <w:sz w:val="28"/>
          <w:szCs w:val="28"/>
        </w:rPr>
        <w:t>" path to entrepreneurship. Particular emphasis is placed on technological innovation, market fit, and individual execution capability.</w:t>
      </w:r>
    </w:p>
    <w:p w14:paraId="526709BA">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 Eligible Participants</w:t>
      </w:r>
    </w:p>
    <w:p w14:paraId="7B552D92">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This track is open to currently enrolled graduate students, undergraduate</w:t>
      </w:r>
      <w:r>
        <w:rPr>
          <w:rFonts w:hint="eastAsia"/>
          <w:sz w:val="28"/>
          <w:szCs w:val="28"/>
          <w:lang w:eastAsia="zh-CN"/>
        </w:rPr>
        <w:t xml:space="preserve"> </w:t>
      </w:r>
      <w:r>
        <w:rPr>
          <w:rFonts w:hint="default"/>
          <w:sz w:val="28"/>
          <w:szCs w:val="28"/>
        </w:rPr>
        <w:t>students, and junior-college/vocational-college students who intend to start a business or are already engaged in entrepreneurial practice. Participants must adopt a solo OPC innovation and entrepreneurship model and compete independently in their own name.</w:t>
      </w:r>
    </w:p>
    <w:p w14:paraId="025DCA05">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III. Suggested Scope of Entries</w:t>
      </w:r>
    </w:p>
    <w:p w14:paraId="01118E6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Including but not limited to: independently developing and selling AI technologies and tools, such as Agents or Skills; using AI technologies and tools for content creation and delivery, such as short videos or motion comics; providing online services based on AI technologies and tools, such as design, data, or computing services; providing offline services using AI technologies and tools, such as services for households, communities, or enterprises; and other innovative projects suitable for independent completion by one person with AI.</w:t>
      </w:r>
    </w:p>
    <w:p w14:paraId="07F64D29">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b/>
          <w:bCs/>
          <w:sz w:val="28"/>
          <w:szCs w:val="28"/>
        </w:rPr>
      </w:pPr>
      <w:r>
        <w:rPr>
          <w:rFonts w:hint="default"/>
          <w:b/>
          <w:bCs/>
          <w:sz w:val="28"/>
          <w:szCs w:val="28"/>
        </w:rPr>
        <w:t>IV. Entry Requirements</w:t>
      </w:r>
    </w:p>
    <w:p w14:paraId="62C995B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1. The participant must be an individual, and the entire project, from conception and R&amp;D to implementation, must be completed independently by that individual.</w:t>
      </w:r>
    </w:p>
    <w:p w14:paraId="4C4CC37F">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2. The project must use AI technology as its core competitive strength, clearly define the product or service offering, such as a lightweight AI tool, AI consulting service, or vertical-domain small-model application, and focus on a specific market need or user pain point.</w:t>
      </w:r>
    </w:p>
    <w:p w14:paraId="0A965A24">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3. The project must emphasize lightweight implementation and practical deployability. Resource requirements should be reasonably aligned with an individual's capabilities, and scenarios that depend on team collaboration or large-scale investment should be avoided. The feasibility of independent execution must be explained.</w:t>
      </w:r>
    </w:p>
    <w:p w14:paraId="61BFAAB3">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rPr>
      </w:pPr>
      <w:r>
        <w:rPr>
          <w:rFonts w:hint="default"/>
          <w:sz w:val="28"/>
          <w:szCs w:val="28"/>
        </w:rPr>
        <w:t>4. The project must demonstrate innovation value, including technological, model, or scenario innovation, and explain its differentiated advantages compared with similar products or services. Small-scale trial feedback or market-research data may be provided.</w:t>
      </w:r>
    </w:p>
    <w:p w14:paraId="25FB131C">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552" w:firstLineChars="200"/>
        <w:textAlignment w:val="auto"/>
        <w:rPr>
          <w:rFonts w:hint="default"/>
          <w:sz w:val="28"/>
          <w:szCs w:val="28"/>
          <w:lang w:val="en-US" w:eastAsia="zh-CN"/>
        </w:rPr>
      </w:pPr>
      <w:r>
        <w:rPr>
          <w:rFonts w:hint="default"/>
          <w:sz w:val="28"/>
          <w:szCs w:val="28"/>
        </w:rPr>
        <w:t>5. The entry must possess independent intellectual property rights, be free of intellectual-property disputes, and comply with national laws, regulations, and industry standards. Compliance must be ensured in processes involving data use and service provision, with respect for user privacy and business ethics.</w:t>
      </w:r>
      <w:bookmarkStart w:id="0" w:name="_GoBack"/>
      <w:bookmarkEnd w:id="0"/>
    </w:p>
    <w:sectPr>
      <w:footerReference r:id="rId6" w:type="default"/>
      <w:headerReference r:id="rId5" w:type="even"/>
      <w:footerReference r:id="rId7" w:type="even"/>
      <w:pgSz w:w="11906" w:h="16838"/>
      <w:pgMar w:top="1644" w:right="1474" w:bottom="1644" w:left="1588" w:header="850" w:footer="1417" w:gutter="0"/>
      <w:pgNumType w:fmt="decimal"/>
      <w:cols w:space="0" w:num="1"/>
      <w:rtlGutter w:val="0"/>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32"/>
      </w:pPr>
      <w:r>
        <w:separator/>
      </w:r>
    </w:p>
  </w:endnote>
  <w:endnote w:type="continuationSeparator" w:id="1">
    <w:p>
      <w:pPr>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00000001" w:usb1="080E0000" w:usb2="00000000" w:usb3="00000000" w:csb0="00040000" w:csb1="00000000"/>
    <w:embedRegular r:id="rId1" w:fontKey="{E6BE7F2D-0C73-4D36-B4C6-E3CBFDAB05C1}"/>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00000001" w:usb1="080E0000" w:usb2="00000000" w:usb3="00000000" w:csb0="00040000" w:csb1="00000000"/>
  </w:font>
  <w:font w:name="Times New Roman (标题 CS)">
    <w:altName w:val="宋体"/>
    <w:panose1 w:val="00000000000000000000"/>
    <w:charset w:val="86"/>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Times New Roman (正文 CS 字体)">
    <w:altName w:val="宋体"/>
    <w:panose1 w:val="020B0604020202020204"/>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D138">
    <w:pPr>
      <w:pStyle w:val="21"/>
      <w:framePr w:wrap="auto" w:vAnchor="margin" w:hAnchor="text" w:xAlign="left" w:yAlign="inline"/>
      <w:ind w:right="360"/>
      <w:jc w:val="left"/>
      <w:rPr>
        <w:rFonts w:ascii="宋体"/>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2C293">
                          <w:pPr>
                            <w:pStyle w:val="21"/>
                            <w:keepNext w:val="0"/>
                            <w:keepLines w:val="0"/>
                            <w:pageBreakBefore w:val="0"/>
                            <w:widowControl w:val="0"/>
                            <w:kinsoku/>
                            <w:wordWrap/>
                            <w:overflowPunct/>
                            <w:topLinePunct w:val="0"/>
                            <w:bidi w:val="0"/>
                            <w:adjustRightInd/>
                            <w:snapToGrid w:val="0"/>
                            <w:ind w:right="0" w:rightChars="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1</w:t>
                          </w:r>
                          <w:r>
                            <w:fldChar w:fldCharType="end"/>
                          </w:r>
                          <w:r>
                            <w:t xml:space="preserve"> </w:t>
                          </w:r>
                          <w:r>
                            <w:rPr>
                              <w:rFonts w:hint="eastAsia" w:ascii="宋体" w:hAnsi="宋体" w:eastAsia="宋体" w:cs="宋体"/>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262C293">
                    <w:pPr>
                      <w:pStyle w:val="21"/>
                      <w:keepNext w:val="0"/>
                      <w:keepLines w:val="0"/>
                      <w:pageBreakBefore w:val="0"/>
                      <w:widowControl w:val="0"/>
                      <w:kinsoku/>
                      <w:wordWrap/>
                      <w:overflowPunct/>
                      <w:topLinePunct w:val="0"/>
                      <w:bidi w:val="0"/>
                      <w:adjustRightInd/>
                      <w:snapToGrid w:val="0"/>
                      <w:ind w:right="0" w:rightChars="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1</w:t>
                    </w:r>
                    <w:r>
                      <w:fldChar w:fldCharType="end"/>
                    </w:r>
                    <w:r>
                      <w:t xml:space="preserve"> </w:t>
                    </w:r>
                    <w:r>
                      <w:rPr>
                        <w:rFonts w:hint="eastAsia" w:ascii="宋体" w:hAnsi="宋体" w:eastAsia="宋体" w:cs="宋体"/>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E832F">
    <w:pPr>
      <w:pStyle w:val="21"/>
      <w:framePr w:wrap="auto" w:vAnchor="margin" w:hAnchor="text" w:xAlign="left" w:yAlign="inline"/>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53064">
                          <w:pPr>
                            <w:pStyle w:val="21"/>
                            <w:keepNext w:val="0"/>
                            <w:keepLines w:val="0"/>
                            <w:pageBreakBefore w:val="0"/>
                            <w:widowControl w:val="0"/>
                            <w:kinsoku/>
                            <w:wordWrap/>
                            <w:overflowPunct/>
                            <w:topLinePunct w:val="0"/>
                            <w:bidi w:val="0"/>
                            <w:adjustRightInd/>
                            <w:snapToGrid w:val="0"/>
                            <w:ind w:left="320" w:leftChars="10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2</w:t>
                          </w:r>
                          <w:r>
                            <w:fldChar w:fldCharType="end"/>
                          </w:r>
                          <w:r>
                            <w:t xml:space="preserve"> </w:t>
                          </w:r>
                          <w:r>
                            <w:rPr>
                              <w:rFonts w:hint="eastAsia" w:ascii="宋体" w:hAnsi="宋体" w:eastAsia="宋体" w:cs="宋体"/>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853064">
                    <w:pPr>
                      <w:pStyle w:val="21"/>
                      <w:keepNext w:val="0"/>
                      <w:keepLines w:val="0"/>
                      <w:pageBreakBefore w:val="0"/>
                      <w:widowControl w:val="0"/>
                      <w:kinsoku/>
                      <w:wordWrap/>
                      <w:overflowPunct/>
                      <w:topLinePunct w:val="0"/>
                      <w:bidi w:val="0"/>
                      <w:adjustRightInd/>
                      <w:snapToGrid w:val="0"/>
                      <w:ind w:left="320" w:leftChars="10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2</w:t>
                    </w:r>
                    <w:r>
                      <w:fldChar w:fldCharType="end"/>
                    </w:r>
                    <w:r>
                      <w:t xml:space="preserve"> </w:t>
                    </w:r>
                    <w:r>
                      <w:rPr>
                        <w:rFonts w:hint="eastAsia" w:ascii="宋体" w:hAnsi="宋体" w:eastAsia="宋体" w:cs="宋体"/>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32"/>
      </w:pPr>
      <w:r>
        <w:separator/>
      </w:r>
    </w:p>
  </w:footnote>
  <w:footnote w:type="continuationSeparator" w:id="1">
    <w:p>
      <w:pPr>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A7109">
    <w:pPr>
      <w:pStyle w:val="2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364E0C"/>
    <w:multiLevelType w:val="multilevel"/>
    <w:tmpl w:val="12364E0C"/>
    <w:lvl w:ilvl="0" w:tentative="0">
      <w:start w:val="1"/>
      <w:numFmt w:val="decimal"/>
      <w:pStyle w:val="83"/>
      <w:lvlText w:val="图%1."/>
      <w:lvlJc w:val="center"/>
      <w:pPr>
        <w:ind w:left="-32767"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51E871AF"/>
    <w:multiLevelType w:val="multilevel"/>
    <w:tmpl w:val="51E871AF"/>
    <w:lvl w:ilvl="0" w:tentative="0">
      <w:start w:val="1"/>
      <w:numFmt w:val="decimal"/>
      <w:pStyle w:val="11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B3082E"/>
    <w:multiLevelType w:val="multilevel"/>
    <w:tmpl w:val="60B3082E"/>
    <w:lvl w:ilvl="0" w:tentative="0">
      <w:start w:val="1"/>
      <w:numFmt w:val="decimal"/>
      <w:pStyle w:val="28"/>
      <w:lvlText w:val="图表%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BC91C14"/>
    <w:multiLevelType w:val="multilevel"/>
    <w:tmpl w:val="7BC91C14"/>
    <w:lvl w:ilvl="0" w:tentative="0">
      <w:start w:val="1"/>
      <w:numFmt w:val="none"/>
      <w:pStyle w:val="114"/>
      <w:lvlText w:val="z"/>
      <w:lvlJc w:val="left"/>
      <w:pPr>
        <w:ind w:left="0" w:firstLine="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lvlOverride w:ilvl="0">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linkStyle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attachedTemplate r:id="rId1"/>
  <w:documentProtection w:enforcement="0"/>
  <w:defaultTabStop w:val="420"/>
  <w:drawingGridHorizontalSpacing w:val="158"/>
  <w:drawingGridVerticalSpacing w:val="579"/>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1ZjI2MGM5ZTg1MmI5YTdlODNjMzI0MDljM2ZmNzcifQ=="/>
    <w:docVar w:name="KSO_WPS_MARK_KEY" w:val="764f0492-21d5-4556-8d77-fd9bcfdd4135"/>
  </w:docVars>
  <w:rsids>
    <w:rsidRoot w:val="001038BE"/>
    <w:rsid w:val="00003ABA"/>
    <w:rsid w:val="00004730"/>
    <w:rsid w:val="00010548"/>
    <w:rsid w:val="00011085"/>
    <w:rsid w:val="000158EC"/>
    <w:rsid w:val="00016BD2"/>
    <w:rsid w:val="000251F1"/>
    <w:rsid w:val="00026F53"/>
    <w:rsid w:val="00041A9D"/>
    <w:rsid w:val="0004289D"/>
    <w:rsid w:val="00047A97"/>
    <w:rsid w:val="0005169D"/>
    <w:rsid w:val="0005430D"/>
    <w:rsid w:val="000634CD"/>
    <w:rsid w:val="00066578"/>
    <w:rsid w:val="000667E8"/>
    <w:rsid w:val="0006756E"/>
    <w:rsid w:val="000712DB"/>
    <w:rsid w:val="00072CCD"/>
    <w:rsid w:val="00072D66"/>
    <w:rsid w:val="00073B63"/>
    <w:rsid w:val="00076AFD"/>
    <w:rsid w:val="0008048D"/>
    <w:rsid w:val="00081386"/>
    <w:rsid w:val="00086F18"/>
    <w:rsid w:val="000871E3"/>
    <w:rsid w:val="00087F05"/>
    <w:rsid w:val="00092FBC"/>
    <w:rsid w:val="00097B9D"/>
    <w:rsid w:val="000A721A"/>
    <w:rsid w:val="000A75B3"/>
    <w:rsid w:val="000B2EEB"/>
    <w:rsid w:val="000B4251"/>
    <w:rsid w:val="000B5FB1"/>
    <w:rsid w:val="000C3986"/>
    <w:rsid w:val="000C3F4D"/>
    <w:rsid w:val="000D121E"/>
    <w:rsid w:val="000E08EC"/>
    <w:rsid w:val="000E0B34"/>
    <w:rsid w:val="000E264A"/>
    <w:rsid w:val="000E3CD2"/>
    <w:rsid w:val="000E58EF"/>
    <w:rsid w:val="000F40BE"/>
    <w:rsid w:val="001004D1"/>
    <w:rsid w:val="00101084"/>
    <w:rsid w:val="001038BE"/>
    <w:rsid w:val="00106652"/>
    <w:rsid w:val="00107EAD"/>
    <w:rsid w:val="0011157B"/>
    <w:rsid w:val="00113E3D"/>
    <w:rsid w:val="00126BD2"/>
    <w:rsid w:val="0012750C"/>
    <w:rsid w:val="0012796D"/>
    <w:rsid w:val="0013085D"/>
    <w:rsid w:val="00131F12"/>
    <w:rsid w:val="00135F67"/>
    <w:rsid w:val="001360A1"/>
    <w:rsid w:val="001360A3"/>
    <w:rsid w:val="0013652F"/>
    <w:rsid w:val="001476FD"/>
    <w:rsid w:val="0015184B"/>
    <w:rsid w:val="001523AC"/>
    <w:rsid w:val="00153001"/>
    <w:rsid w:val="001548E0"/>
    <w:rsid w:val="00163755"/>
    <w:rsid w:val="001647C3"/>
    <w:rsid w:val="00165F1E"/>
    <w:rsid w:val="001672AD"/>
    <w:rsid w:val="00171372"/>
    <w:rsid w:val="001722A4"/>
    <w:rsid w:val="00172B8D"/>
    <w:rsid w:val="001805E9"/>
    <w:rsid w:val="00181C6F"/>
    <w:rsid w:val="00183D13"/>
    <w:rsid w:val="00185485"/>
    <w:rsid w:val="00186154"/>
    <w:rsid w:val="00193796"/>
    <w:rsid w:val="001943C8"/>
    <w:rsid w:val="00197ECE"/>
    <w:rsid w:val="00197F16"/>
    <w:rsid w:val="001A098F"/>
    <w:rsid w:val="001A12DD"/>
    <w:rsid w:val="001A3D75"/>
    <w:rsid w:val="001A7ACF"/>
    <w:rsid w:val="001B251D"/>
    <w:rsid w:val="001B7663"/>
    <w:rsid w:val="001B77EA"/>
    <w:rsid w:val="001D5FF2"/>
    <w:rsid w:val="001D62F5"/>
    <w:rsid w:val="001E16E0"/>
    <w:rsid w:val="001E1810"/>
    <w:rsid w:val="001E2B55"/>
    <w:rsid w:val="001E33D9"/>
    <w:rsid w:val="001E4B66"/>
    <w:rsid w:val="0020184C"/>
    <w:rsid w:val="0020581D"/>
    <w:rsid w:val="0021623D"/>
    <w:rsid w:val="00216438"/>
    <w:rsid w:val="00220496"/>
    <w:rsid w:val="002217B6"/>
    <w:rsid w:val="0022646F"/>
    <w:rsid w:val="00231C26"/>
    <w:rsid w:val="00231E8C"/>
    <w:rsid w:val="00233A03"/>
    <w:rsid w:val="002349FF"/>
    <w:rsid w:val="0023561D"/>
    <w:rsid w:val="002433ED"/>
    <w:rsid w:val="00246252"/>
    <w:rsid w:val="00250F77"/>
    <w:rsid w:val="00253883"/>
    <w:rsid w:val="002540FA"/>
    <w:rsid w:val="00255D9C"/>
    <w:rsid w:val="00263098"/>
    <w:rsid w:val="0027085C"/>
    <w:rsid w:val="00273674"/>
    <w:rsid w:val="00274380"/>
    <w:rsid w:val="002745C6"/>
    <w:rsid w:val="0028214E"/>
    <w:rsid w:val="00284375"/>
    <w:rsid w:val="00284DC6"/>
    <w:rsid w:val="00285069"/>
    <w:rsid w:val="0028778A"/>
    <w:rsid w:val="0029052D"/>
    <w:rsid w:val="00290A1A"/>
    <w:rsid w:val="00291461"/>
    <w:rsid w:val="00293962"/>
    <w:rsid w:val="002947E8"/>
    <w:rsid w:val="002A033E"/>
    <w:rsid w:val="002A10B8"/>
    <w:rsid w:val="002B2243"/>
    <w:rsid w:val="002B485C"/>
    <w:rsid w:val="002B6EDC"/>
    <w:rsid w:val="002B6F60"/>
    <w:rsid w:val="002C4ED5"/>
    <w:rsid w:val="002D10BC"/>
    <w:rsid w:val="002D643E"/>
    <w:rsid w:val="002E597A"/>
    <w:rsid w:val="002E7A06"/>
    <w:rsid w:val="002F13EB"/>
    <w:rsid w:val="002F3354"/>
    <w:rsid w:val="002F5CC7"/>
    <w:rsid w:val="002F6B03"/>
    <w:rsid w:val="00306BA9"/>
    <w:rsid w:val="00307427"/>
    <w:rsid w:val="00311FEC"/>
    <w:rsid w:val="00312505"/>
    <w:rsid w:val="00315F0C"/>
    <w:rsid w:val="00317E3B"/>
    <w:rsid w:val="00331DAA"/>
    <w:rsid w:val="0033780E"/>
    <w:rsid w:val="00337ADC"/>
    <w:rsid w:val="003443A1"/>
    <w:rsid w:val="00344639"/>
    <w:rsid w:val="0034737E"/>
    <w:rsid w:val="00351690"/>
    <w:rsid w:val="00356901"/>
    <w:rsid w:val="003619E5"/>
    <w:rsid w:val="00362D29"/>
    <w:rsid w:val="00370ECF"/>
    <w:rsid w:val="0037197E"/>
    <w:rsid w:val="003750D7"/>
    <w:rsid w:val="0038374C"/>
    <w:rsid w:val="00384B53"/>
    <w:rsid w:val="00396C3F"/>
    <w:rsid w:val="003A338F"/>
    <w:rsid w:val="003A3DA9"/>
    <w:rsid w:val="003B0149"/>
    <w:rsid w:val="003B3412"/>
    <w:rsid w:val="003C0EB9"/>
    <w:rsid w:val="003C173D"/>
    <w:rsid w:val="003C2D3C"/>
    <w:rsid w:val="003C5893"/>
    <w:rsid w:val="003D234D"/>
    <w:rsid w:val="003D37B3"/>
    <w:rsid w:val="003D40EC"/>
    <w:rsid w:val="003E1225"/>
    <w:rsid w:val="003E48F5"/>
    <w:rsid w:val="003F060D"/>
    <w:rsid w:val="003F0D96"/>
    <w:rsid w:val="003F11E8"/>
    <w:rsid w:val="003F251D"/>
    <w:rsid w:val="003F40AB"/>
    <w:rsid w:val="003F40D4"/>
    <w:rsid w:val="0040084A"/>
    <w:rsid w:val="0040398E"/>
    <w:rsid w:val="00405044"/>
    <w:rsid w:val="00405565"/>
    <w:rsid w:val="00407322"/>
    <w:rsid w:val="00416E5C"/>
    <w:rsid w:val="00420057"/>
    <w:rsid w:val="004500A0"/>
    <w:rsid w:val="00450429"/>
    <w:rsid w:val="00451778"/>
    <w:rsid w:val="00455E89"/>
    <w:rsid w:val="00464335"/>
    <w:rsid w:val="00467166"/>
    <w:rsid w:val="00470E3A"/>
    <w:rsid w:val="00473E16"/>
    <w:rsid w:val="00474100"/>
    <w:rsid w:val="00474157"/>
    <w:rsid w:val="004773E7"/>
    <w:rsid w:val="00484057"/>
    <w:rsid w:val="00490818"/>
    <w:rsid w:val="00492053"/>
    <w:rsid w:val="00497971"/>
    <w:rsid w:val="004A403F"/>
    <w:rsid w:val="004A4B70"/>
    <w:rsid w:val="004A5398"/>
    <w:rsid w:val="004B023E"/>
    <w:rsid w:val="004B0637"/>
    <w:rsid w:val="004B59CA"/>
    <w:rsid w:val="004B5DD1"/>
    <w:rsid w:val="004C5A19"/>
    <w:rsid w:val="004C5A49"/>
    <w:rsid w:val="004D41DC"/>
    <w:rsid w:val="004E7584"/>
    <w:rsid w:val="004F758C"/>
    <w:rsid w:val="005009D7"/>
    <w:rsid w:val="0050105D"/>
    <w:rsid w:val="005038AE"/>
    <w:rsid w:val="00505D51"/>
    <w:rsid w:val="00526E71"/>
    <w:rsid w:val="005315B9"/>
    <w:rsid w:val="00540AA4"/>
    <w:rsid w:val="00540BE5"/>
    <w:rsid w:val="00540E44"/>
    <w:rsid w:val="0054307F"/>
    <w:rsid w:val="00545A7E"/>
    <w:rsid w:val="00562469"/>
    <w:rsid w:val="005676E3"/>
    <w:rsid w:val="005772E4"/>
    <w:rsid w:val="00580CDA"/>
    <w:rsid w:val="00581871"/>
    <w:rsid w:val="00584353"/>
    <w:rsid w:val="00591C55"/>
    <w:rsid w:val="005945BD"/>
    <w:rsid w:val="00594D3B"/>
    <w:rsid w:val="0059681B"/>
    <w:rsid w:val="005A0116"/>
    <w:rsid w:val="005A1D9F"/>
    <w:rsid w:val="005A4AB2"/>
    <w:rsid w:val="005A7026"/>
    <w:rsid w:val="005B0E08"/>
    <w:rsid w:val="005B4374"/>
    <w:rsid w:val="005B45FA"/>
    <w:rsid w:val="005B5ACD"/>
    <w:rsid w:val="005C48FA"/>
    <w:rsid w:val="005C5EB1"/>
    <w:rsid w:val="005D0714"/>
    <w:rsid w:val="005D16D4"/>
    <w:rsid w:val="005D1C54"/>
    <w:rsid w:val="005D2C7C"/>
    <w:rsid w:val="005D6CB5"/>
    <w:rsid w:val="005E2D4E"/>
    <w:rsid w:val="005E3612"/>
    <w:rsid w:val="005E425C"/>
    <w:rsid w:val="005E4294"/>
    <w:rsid w:val="005E4D61"/>
    <w:rsid w:val="005F321B"/>
    <w:rsid w:val="005F4B5E"/>
    <w:rsid w:val="005F6479"/>
    <w:rsid w:val="005F6D1A"/>
    <w:rsid w:val="00602CD9"/>
    <w:rsid w:val="006057E3"/>
    <w:rsid w:val="00605FF7"/>
    <w:rsid w:val="0060647A"/>
    <w:rsid w:val="0060770F"/>
    <w:rsid w:val="00610E2A"/>
    <w:rsid w:val="0061266C"/>
    <w:rsid w:val="00615949"/>
    <w:rsid w:val="00615B8F"/>
    <w:rsid w:val="006163AD"/>
    <w:rsid w:val="00620F34"/>
    <w:rsid w:val="0062565B"/>
    <w:rsid w:val="00625BFA"/>
    <w:rsid w:val="00625EBE"/>
    <w:rsid w:val="00626526"/>
    <w:rsid w:val="00626774"/>
    <w:rsid w:val="00627AC4"/>
    <w:rsid w:val="0063109E"/>
    <w:rsid w:val="00634088"/>
    <w:rsid w:val="00635C06"/>
    <w:rsid w:val="006374C9"/>
    <w:rsid w:val="00637531"/>
    <w:rsid w:val="0064275E"/>
    <w:rsid w:val="006465F4"/>
    <w:rsid w:val="0064779A"/>
    <w:rsid w:val="00652FCB"/>
    <w:rsid w:val="0066512A"/>
    <w:rsid w:val="0067119E"/>
    <w:rsid w:val="00676085"/>
    <w:rsid w:val="00680AF4"/>
    <w:rsid w:val="00685A94"/>
    <w:rsid w:val="006924A3"/>
    <w:rsid w:val="006948B9"/>
    <w:rsid w:val="00697B7F"/>
    <w:rsid w:val="006A6424"/>
    <w:rsid w:val="006B003D"/>
    <w:rsid w:val="006B33EA"/>
    <w:rsid w:val="006B5FED"/>
    <w:rsid w:val="006C224C"/>
    <w:rsid w:val="006C5452"/>
    <w:rsid w:val="006C6529"/>
    <w:rsid w:val="006D27B6"/>
    <w:rsid w:val="006D66F6"/>
    <w:rsid w:val="006E3D06"/>
    <w:rsid w:val="006E5294"/>
    <w:rsid w:val="006E7936"/>
    <w:rsid w:val="006F0AA1"/>
    <w:rsid w:val="006F4883"/>
    <w:rsid w:val="006F6BD7"/>
    <w:rsid w:val="006F7D4D"/>
    <w:rsid w:val="007062A7"/>
    <w:rsid w:val="00710C67"/>
    <w:rsid w:val="00710CA3"/>
    <w:rsid w:val="0071168D"/>
    <w:rsid w:val="00714A2B"/>
    <w:rsid w:val="00715B36"/>
    <w:rsid w:val="00724956"/>
    <w:rsid w:val="0072658F"/>
    <w:rsid w:val="00726C16"/>
    <w:rsid w:val="00740416"/>
    <w:rsid w:val="0074166F"/>
    <w:rsid w:val="00741DE9"/>
    <w:rsid w:val="00744B5A"/>
    <w:rsid w:val="00745227"/>
    <w:rsid w:val="00746DF9"/>
    <w:rsid w:val="007521AC"/>
    <w:rsid w:val="00761B33"/>
    <w:rsid w:val="0077791A"/>
    <w:rsid w:val="00777DFB"/>
    <w:rsid w:val="00780AC5"/>
    <w:rsid w:val="00781F89"/>
    <w:rsid w:val="00784C86"/>
    <w:rsid w:val="00792CCB"/>
    <w:rsid w:val="0079300F"/>
    <w:rsid w:val="00793F39"/>
    <w:rsid w:val="00795837"/>
    <w:rsid w:val="00795E67"/>
    <w:rsid w:val="007B0E15"/>
    <w:rsid w:val="007B1EAC"/>
    <w:rsid w:val="007B5742"/>
    <w:rsid w:val="007B6903"/>
    <w:rsid w:val="007C2DD0"/>
    <w:rsid w:val="007C453C"/>
    <w:rsid w:val="007C7A21"/>
    <w:rsid w:val="007D0B5B"/>
    <w:rsid w:val="007D5B3B"/>
    <w:rsid w:val="007D5D21"/>
    <w:rsid w:val="007D610F"/>
    <w:rsid w:val="007E3B2E"/>
    <w:rsid w:val="007F12F5"/>
    <w:rsid w:val="007F1A5E"/>
    <w:rsid w:val="007F7B22"/>
    <w:rsid w:val="00813368"/>
    <w:rsid w:val="00815F90"/>
    <w:rsid w:val="00816480"/>
    <w:rsid w:val="008212BC"/>
    <w:rsid w:val="00822175"/>
    <w:rsid w:val="00822C23"/>
    <w:rsid w:val="0082468A"/>
    <w:rsid w:val="00825C3E"/>
    <w:rsid w:val="00830A3B"/>
    <w:rsid w:val="00835B79"/>
    <w:rsid w:val="00836474"/>
    <w:rsid w:val="00842CD2"/>
    <w:rsid w:val="00846ECE"/>
    <w:rsid w:val="00850891"/>
    <w:rsid w:val="0085183D"/>
    <w:rsid w:val="00852EB1"/>
    <w:rsid w:val="0086084A"/>
    <w:rsid w:val="00861017"/>
    <w:rsid w:val="00862808"/>
    <w:rsid w:val="00862C45"/>
    <w:rsid w:val="00862EFD"/>
    <w:rsid w:val="00871F6F"/>
    <w:rsid w:val="008759FC"/>
    <w:rsid w:val="00875FB4"/>
    <w:rsid w:val="0087795C"/>
    <w:rsid w:val="0088252E"/>
    <w:rsid w:val="00886784"/>
    <w:rsid w:val="008902B4"/>
    <w:rsid w:val="00891EE5"/>
    <w:rsid w:val="00894B8D"/>
    <w:rsid w:val="00895DF4"/>
    <w:rsid w:val="00895FFB"/>
    <w:rsid w:val="008A4F3D"/>
    <w:rsid w:val="008B6DC4"/>
    <w:rsid w:val="008B7E52"/>
    <w:rsid w:val="008C5761"/>
    <w:rsid w:val="008C6519"/>
    <w:rsid w:val="008D55D3"/>
    <w:rsid w:val="008E3E08"/>
    <w:rsid w:val="008E54F4"/>
    <w:rsid w:val="008F2498"/>
    <w:rsid w:val="008F3289"/>
    <w:rsid w:val="008F45D0"/>
    <w:rsid w:val="008F5EFC"/>
    <w:rsid w:val="008F739E"/>
    <w:rsid w:val="00900217"/>
    <w:rsid w:val="009035ED"/>
    <w:rsid w:val="00905B86"/>
    <w:rsid w:val="00911943"/>
    <w:rsid w:val="009157BB"/>
    <w:rsid w:val="0092019F"/>
    <w:rsid w:val="009214C0"/>
    <w:rsid w:val="00926656"/>
    <w:rsid w:val="00927FBD"/>
    <w:rsid w:val="00932428"/>
    <w:rsid w:val="00933C4D"/>
    <w:rsid w:val="00933ECC"/>
    <w:rsid w:val="0094321A"/>
    <w:rsid w:val="0095175B"/>
    <w:rsid w:val="00952257"/>
    <w:rsid w:val="0095483B"/>
    <w:rsid w:val="0096374F"/>
    <w:rsid w:val="0096569D"/>
    <w:rsid w:val="0096615F"/>
    <w:rsid w:val="00972B22"/>
    <w:rsid w:val="0097550D"/>
    <w:rsid w:val="0097647D"/>
    <w:rsid w:val="009778B9"/>
    <w:rsid w:val="00981349"/>
    <w:rsid w:val="00986C61"/>
    <w:rsid w:val="00992964"/>
    <w:rsid w:val="00994A34"/>
    <w:rsid w:val="009954F8"/>
    <w:rsid w:val="009A2EEE"/>
    <w:rsid w:val="009A6B33"/>
    <w:rsid w:val="009B17AB"/>
    <w:rsid w:val="009B23E8"/>
    <w:rsid w:val="009B38A9"/>
    <w:rsid w:val="009B3F9B"/>
    <w:rsid w:val="009B6383"/>
    <w:rsid w:val="009B7BBA"/>
    <w:rsid w:val="009C1741"/>
    <w:rsid w:val="009D34ED"/>
    <w:rsid w:val="009D4AAC"/>
    <w:rsid w:val="009D54A1"/>
    <w:rsid w:val="009E23B8"/>
    <w:rsid w:val="009E3C1E"/>
    <w:rsid w:val="00A00383"/>
    <w:rsid w:val="00A12EAB"/>
    <w:rsid w:val="00A14B50"/>
    <w:rsid w:val="00A14BA3"/>
    <w:rsid w:val="00A16F06"/>
    <w:rsid w:val="00A21BC1"/>
    <w:rsid w:val="00A23A94"/>
    <w:rsid w:val="00A25BFC"/>
    <w:rsid w:val="00A31032"/>
    <w:rsid w:val="00A34D9E"/>
    <w:rsid w:val="00A35A4A"/>
    <w:rsid w:val="00A360D5"/>
    <w:rsid w:val="00A3610A"/>
    <w:rsid w:val="00A4113D"/>
    <w:rsid w:val="00A44880"/>
    <w:rsid w:val="00A44B51"/>
    <w:rsid w:val="00A467CB"/>
    <w:rsid w:val="00A46967"/>
    <w:rsid w:val="00A46B9E"/>
    <w:rsid w:val="00A50C22"/>
    <w:rsid w:val="00A52FD2"/>
    <w:rsid w:val="00A53AEE"/>
    <w:rsid w:val="00A60654"/>
    <w:rsid w:val="00A626FA"/>
    <w:rsid w:val="00A62F83"/>
    <w:rsid w:val="00A64FBB"/>
    <w:rsid w:val="00A70319"/>
    <w:rsid w:val="00A73DE3"/>
    <w:rsid w:val="00A85E77"/>
    <w:rsid w:val="00A97EAC"/>
    <w:rsid w:val="00AA051D"/>
    <w:rsid w:val="00AA06DE"/>
    <w:rsid w:val="00AA1D03"/>
    <w:rsid w:val="00AA25FF"/>
    <w:rsid w:val="00AA3A5B"/>
    <w:rsid w:val="00AA3C64"/>
    <w:rsid w:val="00AB10DC"/>
    <w:rsid w:val="00AB5573"/>
    <w:rsid w:val="00AB7B1C"/>
    <w:rsid w:val="00AC08BF"/>
    <w:rsid w:val="00AC6C4F"/>
    <w:rsid w:val="00AD50D7"/>
    <w:rsid w:val="00AE2407"/>
    <w:rsid w:val="00AE39EC"/>
    <w:rsid w:val="00AE6206"/>
    <w:rsid w:val="00AF101A"/>
    <w:rsid w:val="00AF2E14"/>
    <w:rsid w:val="00AF7160"/>
    <w:rsid w:val="00AF7613"/>
    <w:rsid w:val="00B00A37"/>
    <w:rsid w:val="00B04C7E"/>
    <w:rsid w:val="00B111F0"/>
    <w:rsid w:val="00B11AF0"/>
    <w:rsid w:val="00B20F42"/>
    <w:rsid w:val="00B218BD"/>
    <w:rsid w:val="00B234A0"/>
    <w:rsid w:val="00B253E5"/>
    <w:rsid w:val="00B254E9"/>
    <w:rsid w:val="00B35AEA"/>
    <w:rsid w:val="00B41698"/>
    <w:rsid w:val="00B54912"/>
    <w:rsid w:val="00B54CC4"/>
    <w:rsid w:val="00B562D1"/>
    <w:rsid w:val="00B57ADF"/>
    <w:rsid w:val="00B60799"/>
    <w:rsid w:val="00B708A3"/>
    <w:rsid w:val="00B72B1D"/>
    <w:rsid w:val="00B72D51"/>
    <w:rsid w:val="00B74641"/>
    <w:rsid w:val="00B765DA"/>
    <w:rsid w:val="00B84EFB"/>
    <w:rsid w:val="00B86E47"/>
    <w:rsid w:val="00B9177F"/>
    <w:rsid w:val="00B91FE3"/>
    <w:rsid w:val="00B9642E"/>
    <w:rsid w:val="00BA2C7F"/>
    <w:rsid w:val="00BA2F13"/>
    <w:rsid w:val="00BA7266"/>
    <w:rsid w:val="00BB0486"/>
    <w:rsid w:val="00BB6B7B"/>
    <w:rsid w:val="00BB6D29"/>
    <w:rsid w:val="00BB73B3"/>
    <w:rsid w:val="00BC3A7C"/>
    <w:rsid w:val="00BC5C74"/>
    <w:rsid w:val="00BD1426"/>
    <w:rsid w:val="00BD1B46"/>
    <w:rsid w:val="00BD21F5"/>
    <w:rsid w:val="00BD2CB2"/>
    <w:rsid w:val="00BD4D83"/>
    <w:rsid w:val="00BE59E4"/>
    <w:rsid w:val="00BE5A72"/>
    <w:rsid w:val="00BF3967"/>
    <w:rsid w:val="00BF51AD"/>
    <w:rsid w:val="00C0131C"/>
    <w:rsid w:val="00C01DC8"/>
    <w:rsid w:val="00C051B9"/>
    <w:rsid w:val="00C12A7E"/>
    <w:rsid w:val="00C20F62"/>
    <w:rsid w:val="00C217A5"/>
    <w:rsid w:val="00C26E5C"/>
    <w:rsid w:val="00C307F9"/>
    <w:rsid w:val="00C31163"/>
    <w:rsid w:val="00C36E20"/>
    <w:rsid w:val="00C420AE"/>
    <w:rsid w:val="00C43CC4"/>
    <w:rsid w:val="00C46CA0"/>
    <w:rsid w:val="00C47518"/>
    <w:rsid w:val="00C50006"/>
    <w:rsid w:val="00C503C7"/>
    <w:rsid w:val="00C51841"/>
    <w:rsid w:val="00C52396"/>
    <w:rsid w:val="00C7111F"/>
    <w:rsid w:val="00C74008"/>
    <w:rsid w:val="00C7627C"/>
    <w:rsid w:val="00C81216"/>
    <w:rsid w:val="00C83516"/>
    <w:rsid w:val="00C91CE5"/>
    <w:rsid w:val="00C93936"/>
    <w:rsid w:val="00C95A71"/>
    <w:rsid w:val="00CA0D7B"/>
    <w:rsid w:val="00CA76E1"/>
    <w:rsid w:val="00CB0E8C"/>
    <w:rsid w:val="00CB29D9"/>
    <w:rsid w:val="00CB6463"/>
    <w:rsid w:val="00CC0BC8"/>
    <w:rsid w:val="00CC13D1"/>
    <w:rsid w:val="00CD0E2B"/>
    <w:rsid w:val="00CD0F89"/>
    <w:rsid w:val="00CD3D68"/>
    <w:rsid w:val="00CD62B9"/>
    <w:rsid w:val="00CD7360"/>
    <w:rsid w:val="00CE3647"/>
    <w:rsid w:val="00CF1132"/>
    <w:rsid w:val="00CF2880"/>
    <w:rsid w:val="00CF5159"/>
    <w:rsid w:val="00CF538D"/>
    <w:rsid w:val="00CF7230"/>
    <w:rsid w:val="00D00C96"/>
    <w:rsid w:val="00D01130"/>
    <w:rsid w:val="00D03026"/>
    <w:rsid w:val="00D06ED6"/>
    <w:rsid w:val="00D12B0F"/>
    <w:rsid w:val="00D16CF1"/>
    <w:rsid w:val="00D177D1"/>
    <w:rsid w:val="00D20B2D"/>
    <w:rsid w:val="00D37D5E"/>
    <w:rsid w:val="00D42930"/>
    <w:rsid w:val="00D50773"/>
    <w:rsid w:val="00D579E0"/>
    <w:rsid w:val="00D60796"/>
    <w:rsid w:val="00D6099D"/>
    <w:rsid w:val="00D62482"/>
    <w:rsid w:val="00D62876"/>
    <w:rsid w:val="00D66889"/>
    <w:rsid w:val="00D73789"/>
    <w:rsid w:val="00D91062"/>
    <w:rsid w:val="00D9562E"/>
    <w:rsid w:val="00D956DE"/>
    <w:rsid w:val="00DA21AE"/>
    <w:rsid w:val="00DA39BB"/>
    <w:rsid w:val="00DB13A7"/>
    <w:rsid w:val="00DC1024"/>
    <w:rsid w:val="00DC3CF4"/>
    <w:rsid w:val="00DC3DDE"/>
    <w:rsid w:val="00DC71C8"/>
    <w:rsid w:val="00DD3242"/>
    <w:rsid w:val="00DD3C85"/>
    <w:rsid w:val="00DD48DF"/>
    <w:rsid w:val="00DD5D78"/>
    <w:rsid w:val="00DD71F1"/>
    <w:rsid w:val="00DE0B4F"/>
    <w:rsid w:val="00DE1648"/>
    <w:rsid w:val="00DE3853"/>
    <w:rsid w:val="00DE5848"/>
    <w:rsid w:val="00DE587D"/>
    <w:rsid w:val="00DE6E2A"/>
    <w:rsid w:val="00DF00C4"/>
    <w:rsid w:val="00DF1680"/>
    <w:rsid w:val="00DF2E61"/>
    <w:rsid w:val="00DF3B16"/>
    <w:rsid w:val="00E0096C"/>
    <w:rsid w:val="00E0174A"/>
    <w:rsid w:val="00E028DD"/>
    <w:rsid w:val="00E0402E"/>
    <w:rsid w:val="00E1012D"/>
    <w:rsid w:val="00E148BD"/>
    <w:rsid w:val="00E15FD1"/>
    <w:rsid w:val="00E176E6"/>
    <w:rsid w:val="00E22932"/>
    <w:rsid w:val="00E23CA7"/>
    <w:rsid w:val="00E32D5A"/>
    <w:rsid w:val="00E33083"/>
    <w:rsid w:val="00E40807"/>
    <w:rsid w:val="00E408CE"/>
    <w:rsid w:val="00E413B9"/>
    <w:rsid w:val="00E46A62"/>
    <w:rsid w:val="00E524A9"/>
    <w:rsid w:val="00E62B32"/>
    <w:rsid w:val="00E66273"/>
    <w:rsid w:val="00E66701"/>
    <w:rsid w:val="00E719FF"/>
    <w:rsid w:val="00E80C67"/>
    <w:rsid w:val="00E839B7"/>
    <w:rsid w:val="00E84292"/>
    <w:rsid w:val="00E92B3B"/>
    <w:rsid w:val="00E961C9"/>
    <w:rsid w:val="00EA1645"/>
    <w:rsid w:val="00EA3E4F"/>
    <w:rsid w:val="00EA474D"/>
    <w:rsid w:val="00EA59A5"/>
    <w:rsid w:val="00EA5B21"/>
    <w:rsid w:val="00EA718A"/>
    <w:rsid w:val="00EC247A"/>
    <w:rsid w:val="00ED23A0"/>
    <w:rsid w:val="00ED7B3F"/>
    <w:rsid w:val="00EE0291"/>
    <w:rsid w:val="00EE06B9"/>
    <w:rsid w:val="00EE09C8"/>
    <w:rsid w:val="00EE1E90"/>
    <w:rsid w:val="00EE77B1"/>
    <w:rsid w:val="00EF0B47"/>
    <w:rsid w:val="00EF4F3C"/>
    <w:rsid w:val="00EF67C4"/>
    <w:rsid w:val="00EF6BF1"/>
    <w:rsid w:val="00EF7A4C"/>
    <w:rsid w:val="00F025D5"/>
    <w:rsid w:val="00F13E73"/>
    <w:rsid w:val="00F14C02"/>
    <w:rsid w:val="00F1501C"/>
    <w:rsid w:val="00F16616"/>
    <w:rsid w:val="00F202CC"/>
    <w:rsid w:val="00F21CED"/>
    <w:rsid w:val="00F220EC"/>
    <w:rsid w:val="00F23E65"/>
    <w:rsid w:val="00F24A9C"/>
    <w:rsid w:val="00F31A8D"/>
    <w:rsid w:val="00F43F06"/>
    <w:rsid w:val="00F44039"/>
    <w:rsid w:val="00F47264"/>
    <w:rsid w:val="00F47285"/>
    <w:rsid w:val="00F4773F"/>
    <w:rsid w:val="00F50D82"/>
    <w:rsid w:val="00F5137E"/>
    <w:rsid w:val="00F51B94"/>
    <w:rsid w:val="00F54F8D"/>
    <w:rsid w:val="00F55753"/>
    <w:rsid w:val="00F565D9"/>
    <w:rsid w:val="00F57135"/>
    <w:rsid w:val="00F6159C"/>
    <w:rsid w:val="00F620B2"/>
    <w:rsid w:val="00F71802"/>
    <w:rsid w:val="00F75A16"/>
    <w:rsid w:val="00F76E3D"/>
    <w:rsid w:val="00F91AE5"/>
    <w:rsid w:val="00F93A4A"/>
    <w:rsid w:val="00F96842"/>
    <w:rsid w:val="00F97F4E"/>
    <w:rsid w:val="00FA210B"/>
    <w:rsid w:val="00FA23C1"/>
    <w:rsid w:val="00FA2613"/>
    <w:rsid w:val="00FA266B"/>
    <w:rsid w:val="00FA36DE"/>
    <w:rsid w:val="00FA6C5D"/>
    <w:rsid w:val="00FB230D"/>
    <w:rsid w:val="00FB273C"/>
    <w:rsid w:val="00FC0B5F"/>
    <w:rsid w:val="00FC2A70"/>
    <w:rsid w:val="00FD2190"/>
    <w:rsid w:val="00FD2DC6"/>
    <w:rsid w:val="00FD63F7"/>
    <w:rsid w:val="00FD7F59"/>
    <w:rsid w:val="00FE0C50"/>
    <w:rsid w:val="00FE4255"/>
    <w:rsid w:val="00FE60A4"/>
    <w:rsid w:val="00FE6D1D"/>
    <w:rsid w:val="00FE74BD"/>
    <w:rsid w:val="00FF0FE9"/>
    <w:rsid w:val="00FF2B7B"/>
    <w:rsid w:val="00FF3BB9"/>
    <w:rsid w:val="00FF3EC6"/>
    <w:rsid w:val="01EF572E"/>
    <w:rsid w:val="029562D6"/>
    <w:rsid w:val="03DD1CE2"/>
    <w:rsid w:val="058F34B0"/>
    <w:rsid w:val="0704517C"/>
    <w:rsid w:val="078B7CA7"/>
    <w:rsid w:val="07D258D6"/>
    <w:rsid w:val="07EB5551"/>
    <w:rsid w:val="0B1C45BC"/>
    <w:rsid w:val="0B9D0F9F"/>
    <w:rsid w:val="0BBF6A8A"/>
    <w:rsid w:val="0BCD05D8"/>
    <w:rsid w:val="0BF13141"/>
    <w:rsid w:val="0C694485"/>
    <w:rsid w:val="0C851169"/>
    <w:rsid w:val="0CDE4E63"/>
    <w:rsid w:val="0CE56CA9"/>
    <w:rsid w:val="0D2D6136"/>
    <w:rsid w:val="0D5E197D"/>
    <w:rsid w:val="0E124C7E"/>
    <w:rsid w:val="0E43308A"/>
    <w:rsid w:val="100B7BD7"/>
    <w:rsid w:val="10360788"/>
    <w:rsid w:val="108A31F2"/>
    <w:rsid w:val="110F36F7"/>
    <w:rsid w:val="114301E9"/>
    <w:rsid w:val="11C95F9C"/>
    <w:rsid w:val="11EB5F12"/>
    <w:rsid w:val="12446D5E"/>
    <w:rsid w:val="12B8619A"/>
    <w:rsid w:val="13655ABF"/>
    <w:rsid w:val="14A423A8"/>
    <w:rsid w:val="15C076B6"/>
    <w:rsid w:val="16564304"/>
    <w:rsid w:val="167A010A"/>
    <w:rsid w:val="17CA00EB"/>
    <w:rsid w:val="180C7EFA"/>
    <w:rsid w:val="1811730C"/>
    <w:rsid w:val="18117D55"/>
    <w:rsid w:val="18A41C83"/>
    <w:rsid w:val="18B86045"/>
    <w:rsid w:val="1911420E"/>
    <w:rsid w:val="1942424C"/>
    <w:rsid w:val="1A7D1BE3"/>
    <w:rsid w:val="1ADB4591"/>
    <w:rsid w:val="1AE94FD7"/>
    <w:rsid w:val="1B150ED3"/>
    <w:rsid w:val="1C0F0CFE"/>
    <w:rsid w:val="1C1B0383"/>
    <w:rsid w:val="1C640D9B"/>
    <w:rsid w:val="1DBE62FD"/>
    <w:rsid w:val="1DF8272C"/>
    <w:rsid w:val="1E117B3A"/>
    <w:rsid w:val="1E4673B8"/>
    <w:rsid w:val="1E71154D"/>
    <w:rsid w:val="1FBA6F24"/>
    <w:rsid w:val="20670DFB"/>
    <w:rsid w:val="208229B7"/>
    <w:rsid w:val="209A4B27"/>
    <w:rsid w:val="21717725"/>
    <w:rsid w:val="218A3047"/>
    <w:rsid w:val="21B52C34"/>
    <w:rsid w:val="22C8411F"/>
    <w:rsid w:val="231132FF"/>
    <w:rsid w:val="236930C6"/>
    <w:rsid w:val="238D507B"/>
    <w:rsid w:val="251A4842"/>
    <w:rsid w:val="25A51E78"/>
    <w:rsid w:val="25C805EC"/>
    <w:rsid w:val="26A91561"/>
    <w:rsid w:val="278A0681"/>
    <w:rsid w:val="28933995"/>
    <w:rsid w:val="28EF40E2"/>
    <w:rsid w:val="29B217DA"/>
    <w:rsid w:val="29E60C46"/>
    <w:rsid w:val="29F179E6"/>
    <w:rsid w:val="2B88437A"/>
    <w:rsid w:val="2D1C3D8C"/>
    <w:rsid w:val="2D71772F"/>
    <w:rsid w:val="2D8A7529"/>
    <w:rsid w:val="2E654033"/>
    <w:rsid w:val="2F85474A"/>
    <w:rsid w:val="2FA84D28"/>
    <w:rsid w:val="2FB3107F"/>
    <w:rsid w:val="2FF84C9D"/>
    <w:rsid w:val="3081139D"/>
    <w:rsid w:val="32605D7C"/>
    <w:rsid w:val="32832AEC"/>
    <w:rsid w:val="32D57EA5"/>
    <w:rsid w:val="32F00761"/>
    <w:rsid w:val="33264BA4"/>
    <w:rsid w:val="33CE467A"/>
    <w:rsid w:val="344E43B3"/>
    <w:rsid w:val="348E6A87"/>
    <w:rsid w:val="34C73392"/>
    <w:rsid w:val="34CE7E0C"/>
    <w:rsid w:val="35502345"/>
    <w:rsid w:val="35D21A4B"/>
    <w:rsid w:val="36086690"/>
    <w:rsid w:val="36C53D5D"/>
    <w:rsid w:val="37294C63"/>
    <w:rsid w:val="386F2B4A"/>
    <w:rsid w:val="38AC6DA6"/>
    <w:rsid w:val="3922757D"/>
    <w:rsid w:val="3A557B1D"/>
    <w:rsid w:val="3ADE3FB6"/>
    <w:rsid w:val="3B93172C"/>
    <w:rsid w:val="3CBC7332"/>
    <w:rsid w:val="3E0D0E3B"/>
    <w:rsid w:val="3E654911"/>
    <w:rsid w:val="3E6860AF"/>
    <w:rsid w:val="3ECD4126"/>
    <w:rsid w:val="3EDE6333"/>
    <w:rsid w:val="3EE576C2"/>
    <w:rsid w:val="3F8C3FE1"/>
    <w:rsid w:val="400804E7"/>
    <w:rsid w:val="400B2897"/>
    <w:rsid w:val="412F2128"/>
    <w:rsid w:val="41377F7D"/>
    <w:rsid w:val="419418DC"/>
    <w:rsid w:val="41C426DA"/>
    <w:rsid w:val="4242287E"/>
    <w:rsid w:val="42937435"/>
    <w:rsid w:val="42DC0504"/>
    <w:rsid w:val="438C45B0"/>
    <w:rsid w:val="43A47AAB"/>
    <w:rsid w:val="43EF46D3"/>
    <w:rsid w:val="44102BB9"/>
    <w:rsid w:val="441F6C28"/>
    <w:rsid w:val="446F427E"/>
    <w:rsid w:val="453C61CC"/>
    <w:rsid w:val="45960C6D"/>
    <w:rsid w:val="47CA7273"/>
    <w:rsid w:val="484C6A03"/>
    <w:rsid w:val="48D52555"/>
    <w:rsid w:val="49544656"/>
    <w:rsid w:val="496B4CBB"/>
    <w:rsid w:val="49772E3F"/>
    <w:rsid w:val="4A2F3EE7"/>
    <w:rsid w:val="4A3663E3"/>
    <w:rsid w:val="4A79547F"/>
    <w:rsid w:val="4AEA4ACB"/>
    <w:rsid w:val="4B313C8F"/>
    <w:rsid w:val="4B76633C"/>
    <w:rsid w:val="4B7A73E4"/>
    <w:rsid w:val="4C5809FA"/>
    <w:rsid w:val="4C9045C2"/>
    <w:rsid w:val="4CED3DAC"/>
    <w:rsid w:val="4D001B6A"/>
    <w:rsid w:val="4D2C0BB1"/>
    <w:rsid w:val="4FFC045B"/>
    <w:rsid w:val="50212524"/>
    <w:rsid w:val="504D156B"/>
    <w:rsid w:val="506A3ECB"/>
    <w:rsid w:val="50A8054F"/>
    <w:rsid w:val="51072542"/>
    <w:rsid w:val="516A3A56"/>
    <w:rsid w:val="5173253E"/>
    <w:rsid w:val="52296FA9"/>
    <w:rsid w:val="525944FC"/>
    <w:rsid w:val="533F163E"/>
    <w:rsid w:val="538A565B"/>
    <w:rsid w:val="5480425F"/>
    <w:rsid w:val="54C63062"/>
    <w:rsid w:val="555A5430"/>
    <w:rsid w:val="55DA73FC"/>
    <w:rsid w:val="55E75CFA"/>
    <w:rsid w:val="564952FE"/>
    <w:rsid w:val="566C1582"/>
    <w:rsid w:val="56F908BC"/>
    <w:rsid w:val="571921A6"/>
    <w:rsid w:val="57613D10"/>
    <w:rsid w:val="57820040"/>
    <w:rsid w:val="5803333B"/>
    <w:rsid w:val="58712AA7"/>
    <w:rsid w:val="59111786"/>
    <w:rsid w:val="591911ED"/>
    <w:rsid w:val="596B4F6F"/>
    <w:rsid w:val="5A0D7B97"/>
    <w:rsid w:val="5A4D4723"/>
    <w:rsid w:val="5AD42FAA"/>
    <w:rsid w:val="5AE80B50"/>
    <w:rsid w:val="5B0B62AA"/>
    <w:rsid w:val="5B503CBD"/>
    <w:rsid w:val="5BA67D81"/>
    <w:rsid w:val="5C31445D"/>
    <w:rsid w:val="5D00798B"/>
    <w:rsid w:val="5D071B50"/>
    <w:rsid w:val="5D600B2F"/>
    <w:rsid w:val="5D69550A"/>
    <w:rsid w:val="5D6C4425"/>
    <w:rsid w:val="5E2C27BF"/>
    <w:rsid w:val="5E3559B0"/>
    <w:rsid w:val="5F14228A"/>
    <w:rsid w:val="5F337B7D"/>
    <w:rsid w:val="5FDF3132"/>
    <w:rsid w:val="5FE570CA"/>
    <w:rsid w:val="606F4BE5"/>
    <w:rsid w:val="60A977A5"/>
    <w:rsid w:val="61970898"/>
    <w:rsid w:val="61B31956"/>
    <w:rsid w:val="61D67206"/>
    <w:rsid w:val="61E34579"/>
    <w:rsid w:val="62084A6A"/>
    <w:rsid w:val="62467BC8"/>
    <w:rsid w:val="62667C1B"/>
    <w:rsid w:val="62EA5FCC"/>
    <w:rsid w:val="637A2FF9"/>
    <w:rsid w:val="65F52031"/>
    <w:rsid w:val="65FF6BAB"/>
    <w:rsid w:val="666653EA"/>
    <w:rsid w:val="66822AB6"/>
    <w:rsid w:val="66B172BB"/>
    <w:rsid w:val="680535EA"/>
    <w:rsid w:val="692C3FBB"/>
    <w:rsid w:val="693E1E25"/>
    <w:rsid w:val="6A8A71EB"/>
    <w:rsid w:val="6ACC4F74"/>
    <w:rsid w:val="6ACD35C3"/>
    <w:rsid w:val="6ACD7D7D"/>
    <w:rsid w:val="6ACE3875"/>
    <w:rsid w:val="6B627557"/>
    <w:rsid w:val="6BD9385B"/>
    <w:rsid w:val="6DC72505"/>
    <w:rsid w:val="6FAF14A2"/>
    <w:rsid w:val="6FE0113F"/>
    <w:rsid w:val="70314B98"/>
    <w:rsid w:val="703379DD"/>
    <w:rsid w:val="70343755"/>
    <w:rsid w:val="70AD6ED1"/>
    <w:rsid w:val="71E46B0C"/>
    <w:rsid w:val="725D5294"/>
    <w:rsid w:val="727D13E4"/>
    <w:rsid w:val="73592E29"/>
    <w:rsid w:val="74252E95"/>
    <w:rsid w:val="745069F8"/>
    <w:rsid w:val="758F5CC4"/>
    <w:rsid w:val="7783749C"/>
    <w:rsid w:val="77EF2B60"/>
    <w:rsid w:val="78774765"/>
    <w:rsid w:val="78A84CE1"/>
    <w:rsid w:val="78C45384"/>
    <w:rsid w:val="78CC030B"/>
    <w:rsid w:val="78F91E55"/>
    <w:rsid w:val="793F739D"/>
    <w:rsid w:val="79E0796F"/>
    <w:rsid w:val="79F70621"/>
    <w:rsid w:val="7A41363F"/>
    <w:rsid w:val="7AB16A7A"/>
    <w:rsid w:val="7B154D33"/>
    <w:rsid w:val="7B191C40"/>
    <w:rsid w:val="7B461D31"/>
    <w:rsid w:val="7B7753AE"/>
    <w:rsid w:val="7C1A652F"/>
    <w:rsid w:val="7C293F60"/>
    <w:rsid w:val="7C887303"/>
    <w:rsid w:val="7CFC6DD6"/>
    <w:rsid w:val="7DF00BFA"/>
    <w:rsid w:val="7E04675B"/>
    <w:rsid w:val="7EA66073"/>
    <w:rsid w:val="7EA877E8"/>
    <w:rsid w:val="7EFE38AC"/>
    <w:rsid w:val="7F6F190B"/>
    <w:rsid w:val="7FE74340"/>
    <w:rsid w:val="AFFF7E87"/>
    <w:rsid w:val="AFFFBA4F"/>
    <w:rsid w:val="D7F7C5DD"/>
    <w:rsid w:val="DBDFF91B"/>
    <w:rsid w:val="DF5F0003"/>
    <w:rsid w:val="EDE7CF71"/>
    <w:rsid w:val="F9C736F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1672" w:firstLineChars="200"/>
      <w:jc w:val="both"/>
    </w:pPr>
    <w:rPr>
      <w:rFonts w:ascii="Times New Roman" w:hAnsi="Times New Roman" w:eastAsia="方正仿宋_GBK" w:cs="方正仿宋_GBK"/>
      <w:color w:val="000000" w:themeColor="text1"/>
      <w:kern w:val="2"/>
      <w:sz w:val="32"/>
      <w:szCs w:val="32"/>
      <w:lang w:val="en-US" w:eastAsia="zh-CN" w:bidi="ar-SA"/>
      <w14:textFill>
        <w14:solidFill>
          <w14:schemeClr w14:val="tx1"/>
        </w14:solidFill>
      </w14:textFill>
    </w:rPr>
  </w:style>
  <w:style w:type="paragraph" w:styleId="2">
    <w:name w:val="heading 1"/>
    <w:next w:val="1"/>
    <w:link w:val="42"/>
    <w:qFormat/>
    <w:uiPriority w:val="9"/>
    <w:pPr>
      <w:ind w:firstLine="200" w:firstLineChars="200"/>
      <w:outlineLvl w:val="0"/>
    </w:pPr>
    <w:rPr>
      <w:rFonts w:ascii="Times New Roman" w:hAnsi="Times New Roman" w:eastAsia="方正黑体_GBK" w:cs="方正黑体_GBK"/>
      <w:color w:val="auto"/>
      <w:kern w:val="44"/>
      <w:sz w:val="32"/>
      <w:szCs w:val="44"/>
      <w:lang w:val="en-US" w:eastAsia="zh-CN" w:bidi="ar-SA"/>
    </w:rPr>
  </w:style>
  <w:style w:type="paragraph" w:styleId="3">
    <w:name w:val="heading 2"/>
    <w:basedOn w:val="1"/>
    <w:next w:val="1"/>
    <w:link w:val="43"/>
    <w:unhideWhenUsed/>
    <w:qFormat/>
    <w:uiPriority w:val="9"/>
    <w:pPr>
      <w:tabs>
        <w:tab w:val="left" w:pos="1134"/>
      </w:tabs>
      <w:ind w:firstLine="632" w:firstLineChars="200"/>
      <w:outlineLvl w:val="1"/>
    </w:pPr>
    <w:rPr>
      <w:rFonts w:ascii="Times New Roman" w:hAnsi="Times New Roman" w:eastAsia="方正楷体_GBK" w:cs="方正楷体_GBK"/>
      <w:color w:val="000000" w:themeColor="text1"/>
      <w:kern w:val="2"/>
      <w:sz w:val="32"/>
      <w:szCs w:val="32"/>
      <w:lang w:val="en-US" w:eastAsia="zh-CN" w:bidi="ar-SA"/>
      <w14:textFill>
        <w14:solidFill>
          <w14:schemeClr w14:val="tx1"/>
        </w14:solidFill>
      </w14:textFill>
    </w:rPr>
  </w:style>
  <w:style w:type="paragraph" w:styleId="4">
    <w:name w:val="heading 3"/>
    <w:next w:val="1"/>
    <w:link w:val="44"/>
    <w:unhideWhenUsed/>
    <w:qFormat/>
    <w:uiPriority w:val="9"/>
    <w:pPr>
      <w:ind w:firstLine="640" w:firstLineChars="200"/>
      <w:outlineLvl w:val="2"/>
    </w:pPr>
    <w:rPr>
      <w:rFonts w:ascii="Times New Roman" w:hAnsi="Times New Roman" w:eastAsia="方正仿宋_GBK" w:cs="方正仿宋_GBK"/>
      <w:b/>
      <w:color w:val="000000" w:themeColor="text1"/>
      <w:kern w:val="2"/>
      <w:sz w:val="32"/>
      <w:szCs w:val="32"/>
      <w:lang w:val="en-US" w:eastAsia="zh-CN" w:bidi="ar-SA"/>
      <w14:textFill>
        <w14:solidFill>
          <w14:schemeClr w14:val="tx1"/>
        </w14:solidFill>
      </w14:textFill>
    </w:rPr>
  </w:style>
  <w:style w:type="paragraph" w:styleId="5">
    <w:name w:val="heading 4"/>
    <w:next w:val="1"/>
    <w:link w:val="45"/>
    <w:unhideWhenUsed/>
    <w:qFormat/>
    <w:uiPriority w:val="9"/>
    <w:pPr>
      <w:ind w:firstLine="640" w:firstLineChars="200"/>
      <w:outlineLvl w:val="3"/>
    </w:pPr>
    <w:rPr>
      <w:rFonts w:ascii="Times New Roman" w:hAnsi="Times New Roman" w:eastAsia="方正仿宋_GBK" w:cs="方正仿宋_GBK"/>
      <w:color w:val="000000" w:themeColor="text1"/>
      <w:kern w:val="2"/>
      <w:sz w:val="32"/>
      <w:szCs w:val="32"/>
      <w:lang w:val="en-US" w:eastAsia="zh-CN" w:bidi="ar-SA"/>
      <w14:textFill>
        <w14:solidFill>
          <w14:schemeClr w14:val="tx1"/>
        </w14:solidFill>
      </w14:textFill>
    </w:rPr>
  </w:style>
  <w:style w:type="paragraph" w:styleId="6">
    <w:name w:val="heading 5"/>
    <w:basedOn w:val="1"/>
    <w:next w:val="1"/>
    <w:link w:val="84"/>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85"/>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paragraph" w:styleId="8">
    <w:name w:val="heading 7"/>
    <w:basedOn w:val="1"/>
    <w:next w:val="1"/>
    <w:link w:val="86"/>
    <w:semiHidden/>
    <w:unhideWhenUsed/>
    <w:qFormat/>
    <w:uiPriority w:val="9"/>
    <w:pPr>
      <w:keepNext/>
      <w:keepLines/>
      <w:spacing w:before="240" w:after="64" w:line="320" w:lineRule="auto"/>
      <w:outlineLvl w:val="6"/>
    </w:pPr>
    <w:rPr>
      <w:b/>
      <w:bCs/>
      <w:sz w:val="24"/>
    </w:rPr>
  </w:style>
  <w:style w:type="paragraph" w:styleId="9">
    <w:name w:val="heading 8"/>
    <w:basedOn w:val="1"/>
    <w:next w:val="1"/>
    <w:link w:val="87"/>
    <w:semiHidden/>
    <w:unhideWhenUsed/>
    <w:qFormat/>
    <w:uiPriority w:val="9"/>
    <w:pPr>
      <w:keepNext/>
      <w:keepLines/>
      <w:spacing w:before="240" w:after="64" w:line="320" w:lineRule="auto"/>
      <w:outlineLvl w:val="7"/>
    </w:pPr>
    <w:rPr>
      <w:rFonts w:asciiTheme="majorHAnsi" w:hAnsiTheme="majorHAnsi" w:eastAsiaTheme="majorEastAsia" w:cstheme="majorBidi"/>
      <w:sz w:val="24"/>
    </w:rPr>
  </w:style>
  <w:style w:type="paragraph" w:styleId="10">
    <w:name w:val="heading 9"/>
    <w:basedOn w:val="1"/>
    <w:next w:val="1"/>
    <w:link w:val="55"/>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920"/>
    </w:pPr>
    <w:rPr>
      <w:rFonts w:asciiTheme="minorHAnsi" w:eastAsiaTheme="minorHAnsi"/>
      <w:sz w:val="18"/>
      <w:szCs w:val="18"/>
    </w:rPr>
  </w:style>
  <w:style w:type="paragraph" w:styleId="12">
    <w:name w:val="Normal Indent"/>
    <w:basedOn w:val="1"/>
    <w:unhideWhenUsed/>
    <w:qFormat/>
    <w:uiPriority w:val="99"/>
    <w:pPr>
      <w:ind w:firstLine="420" w:firstLineChars="200"/>
    </w:pPr>
    <w:rPr>
      <w:color w:val="000000" w:themeColor="text1"/>
      <w14:textFill>
        <w14:solidFill>
          <w14:schemeClr w14:val="tx1"/>
        </w14:solidFill>
      </w14:textFill>
    </w:rPr>
  </w:style>
  <w:style w:type="paragraph" w:styleId="13">
    <w:name w:val="caption"/>
    <w:basedOn w:val="1"/>
    <w:next w:val="1"/>
    <w:unhideWhenUsed/>
    <w:qFormat/>
    <w:uiPriority w:val="35"/>
    <w:rPr>
      <w:rFonts w:eastAsia="黑体" w:asciiTheme="majorHAnsi" w:hAnsiTheme="majorHAnsi" w:cstheme="majorBidi"/>
      <w:sz w:val="20"/>
    </w:rPr>
  </w:style>
  <w:style w:type="paragraph" w:styleId="14">
    <w:name w:val="annotation text"/>
    <w:basedOn w:val="1"/>
    <w:link w:val="53"/>
    <w:unhideWhenUsed/>
    <w:qFormat/>
    <w:uiPriority w:val="99"/>
  </w:style>
  <w:style w:type="paragraph" w:styleId="15">
    <w:name w:val="toc 5"/>
    <w:basedOn w:val="1"/>
    <w:next w:val="1"/>
    <w:unhideWhenUsed/>
    <w:qFormat/>
    <w:uiPriority w:val="39"/>
    <w:pPr>
      <w:ind w:left="1280"/>
    </w:pPr>
    <w:rPr>
      <w:rFonts w:asciiTheme="minorHAnsi" w:eastAsiaTheme="minorHAnsi"/>
      <w:sz w:val="18"/>
      <w:szCs w:val="18"/>
    </w:rPr>
  </w:style>
  <w:style w:type="paragraph" w:styleId="16">
    <w:name w:val="toc 3"/>
    <w:basedOn w:val="17"/>
    <w:next w:val="1"/>
    <w:unhideWhenUsed/>
    <w:qFormat/>
    <w:uiPriority w:val="39"/>
    <w:pPr>
      <w:ind w:left="640"/>
    </w:pPr>
    <w:rPr>
      <w:i/>
      <w:iCs/>
      <w:smallCaps w:val="0"/>
    </w:rPr>
  </w:style>
  <w:style w:type="paragraph" w:styleId="17">
    <w:name w:val="toc 2"/>
    <w:basedOn w:val="1"/>
    <w:next w:val="1"/>
    <w:unhideWhenUsed/>
    <w:qFormat/>
    <w:uiPriority w:val="39"/>
    <w:pPr>
      <w:ind w:left="320"/>
    </w:pPr>
    <w:rPr>
      <w:rFonts w:asciiTheme="minorHAnsi" w:eastAsiaTheme="minorHAnsi"/>
      <w:smallCaps/>
      <w:sz w:val="20"/>
      <w:szCs w:val="20"/>
    </w:rPr>
  </w:style>
  <w:style w:type="paragraph" w:styleId="18">
    <w:name w:val="toc 8"/>
    <w:basedOn w:val="1"/>
    <w:next w:val="1"/>
    <w:unhideWhenUsed/>
    <w:qFormat/>
    <w:uiPriority w:val="39"/>
    <w:pPr>
      <w:ind w:left="2240"/>
    </w:pPr>
    <w:rPr>
      <w:rFonts w:asciiTheme="minorHAnsi" w:eastAsiaTheme="minorHAnsi"/>
      <w:sz w:val="18"/>
      <w:szCs w:val="18"/>
    </w:rPr>
  </w:style>
  <w:style w:type="paragraph" w:styleId="19">
    <w:name w:val="Date"/>
    <w:basedOn w:val="1"/>
    <w:next w:val="1"/>
    <w:link w:val="110"/>
    <w:semiHidden/>
    <w:unhideWhenUsed/>
    <w:qFormat/>
    <w:uiPriority w:val="99"/>
    <w:pPr>
      <w:ind w:left="100" w:leftChars="2500"/>
    </w:pPr>
  </w:style>
  <w:style w:type="paragraph" w:styleId="20">
    <w:name w:val="Balloon Text"/>
    <w:basedOn w:val="1"/>
    <w:link w:val="52"/>
    <w:unhideWhenUsed/>
    <w:qFormat/>
    <w:uiPriority w:val="99"/>
    <w:rPr>
      <w:sz w:val="18"/>
      <w:szCs w:val="18"/>
    </w:rPr>
  </w:style>
  <w:style w:type="paragraph" w:styleId="21">
    <w:name w:val="footer"/>
    <w:link w:val="48"/>
    <w:unhideWhenUsed/>
    <w:qFormat/>
    <w:uiPriority w:val="99"/>
    <w:pPr>
      <w:framePr w:wrap="auto" w:vAnchor="text" w:hAnchor="margin" w:xAlign="center" w:y="1"/>
      <w:tabs>
        <w:tab w:val="center" w:pos="4153"/>
        <w:tab w:val="right" w:pos="8306"/>
      </w:tabs>
      <w:snapToGrid w:val="0"/>
      <w:ind w:firstLine="0" w:firstLineChars="0"/>
      <w:jc w:val="center"/>
    </w:pPr>
    <w:rPr>
      <w:rFonts w:ascii="Times New Roman" w:hAnsi="Times New Roman" w:eastAsia="宋体" w:cs="仿宋"/>
      <w:sz w:val="28"/>
      <w:szCs w:val="28"/>
    </w:rPr>
  </w:style>
  <w:style w:type="paragraph" w:styleId="22">
    <w:name w:val="header"/>
    <w:basedOn w:val="1"/>
    <w:link w:val="59"/>
    <w:unhideWhenUsed/>
    <w:qFormat/>
    <w:uiPriority w:val="99"/>
    <w:pPr>
      <w:pBdr>
        <w:bottom w:val="single" w:color="auto" w:sz="6" w:space="1"/>
      </w:pBdr>
      <w:tabs>
        <w:tab w:val="center" w:pos="4153"/>
        <w:tab w:val="right" w:pos="8306"/>
      </w:tabs>
      <w:snapToGrid w:val="0"/>
      <w:jc w:val="right"/>
    </w:pPr>
    <w:rPr>
      <w:rFonts w:hAnsi="宋体"/>
      <w:sz w:val="18"/>
      <w:szCs w:val="18"/>
    </w:rPr>
  </w:style>
  <w:style w:type="paragraph" w:styleId="23">
    <w:name w:val="toc 1"/>
    <w:basedOn w:val="1"/>
    <w:next w:val="24"/>
    <w:unhideWhenUsed/>
    <w:qFormat/>
    <w:uiPriority w:val="39"/>
    <w:pPr>
      <w:spacing w:before="120" w:after="120"/>
    </w:pPr>
    <w:rPr>
      <w:rFonts w:eastAsia="黑体" w:asciiTheme="minorHAnsi"/>
      <w:bCs/>
      <w:caps/>
      <w:sz w:val="20"/>
      <w:szCs w:val="20"/>
    </w:rPr>
  </w:style>
  <w:style w:type="paragraph" w:styleId="24">
    <w:name w:val="No Spacing"/>
    <w:qFormat/>
    <w:uiPriority w:val="1"/>
    <w:pPr>
      <w:widowControl w:val="0"/>
    </w:pPr>
    <w:rPr>
      <w:rFonts w:ascii="Times New Roman" w:hAnsi="Times New Roman" w:eastAsia="方正仿宋_GBK" w:cs="仿宋"/>
      <w:color w:val="auto"/>
      <w:kern w:val="2"/>
      <w:sz w:val="32"/>
      <w:szCs w:val="32"/>
      <w:lang w:val="en-US" w:eastAsia="zh-CN" w:bidi="ar-SA"/>
    </w:rPr>
  </w:style>
  <w:style w:type="paragraph" w:styleId="25">
    <w:name w:val="toc 4"/>
    <w:basedOn w:val="1"/>
    <w:next w:val="1"/>
    <w:unhideWhenUsed/>
    <w:qFormat/>
    <w:uiPriority w:val="39"/>
    <w:pPr>
      <w:ind w:left="960"/>
    </w:pPr>
    <w:rPr>
      <w:rFonts w:asciiTheme="minorHAnsi" w:eastAsiaTheme="minorHAnsi"/>
      <w:sz w:val="18"/>
      <w:szCs w:val="18"/>
    </w:rPr>
  </w:style>
  <w:style w:type="paragraph" w:styleId="26">
    <w:name w:val="Subtitle"/>
    <w:next w:val="1"/>
    <w:link w:val="56"/>
    <w:qFormat/>
    <w:uiPriority w:val="11"/>
    <w:pPr>
      <w:ind w:firstLine="0" w:firstLineChars="0"/>
      <w:jc w:val="center"/>
    </w:pPr>
    <w:rPr>
      <w:rFonts w:ascii="Times New Roman" w:hAnsi="Times New Roman" w:eastAsia="方正楷体_GBK" w:cs="仿宋"/>
      <w:sz w:val="32"/>
    </w:rPr>
  </w:style>
  <w:style w:type="paragraph" w:styleId="27">
    <w:name w:val="toc 6"/>
    <w:basedOn w:val="1"/>
    <w:next w:val="1"/>
    <w:unhideWhenUsed/>
    <w:qFormat/>
    <w:uiPriority w:val="39"/>
    <w:pPr>
      <w:ind w:left="1600"/>
    </w:pPr>
    <w:rPr>
      <w:rFonts w:asciiTheme="minorHAnsi" w:eastAsiaTheme="minorHAnsi"/>
      <w:sz w:val="18"/>
      <w:szCs w:val="18"/>
    </w:rPr>
  </w:style>
  <w:style w:type="paragraph" w:styleId="28">
    <w:name w:val="table of figures"/>
    <w:basedOn w:val="1"/>
    <w:next w:val="1"/>
    <w:unhideWhenUsed/>
    <w:qFormat/>
    <w:uiPriority w:val="99"/>
    <w:pPr>
      <w:numPr>
        <w:ilvl w:val="0"/>
        <w:numId w:val="1"/>
      </w:numPr>
      <w:ind w:left="200" w:leftChars="200" w:hanging="200" w:hangingChars="200"/>
    </w:pPr>
    <w:rPr>
      <w:rFonts w:eastAsia="方正楷体_GBK" w:cs="方正楷体_GBK"/>
      <w:sz w:val="28"/>
    </w:rPr>
  </w:style>
  <w:style w:type="paragraph" w:styleId="29">
    <w:name w:val="toc 9"/>
    <w:basedOn w:val="1"/>
    <w:next w:val="1"/>
    <w:unhideWhenUsed/>
    <w:qFormat/>
    <w:uiPriority w:val="39"/>
    <w:pPr>
      <w:ind w:left="2560"/>
    </w:pPr>
    <w:rPr>
      <w:rFonts w:asciiTheme="minorHAnsi" w:eastAsiaTheme="minorHAnsi"/>
      <w:sz w:val="18"/>
      <w:szCs w:val="18"/>
    </w:r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index 1"/>
    <w:basedOn w:val="1"/>
    <w:next w:val="1"/>
    <w:unhideWhenUsed/>
    <w:qFormat/>
    <w:uiPriority w:val="99"/>
  </w:style>
  <w:style w:type="paragraph" w:styleId="32">
    <w:name w:val="Title"/>
    <w:next w:val="1"/>
    <w:link w:val="46"/>
    <w:qFormat/>
    <w:uiPriority w:val="10"/>
    <w:pPr>
      <w:spacing w:line="600" w:lineRule="exact"/>
      <w:jc w:val="center"/>
      <w:outlineLvl w:val="0"/>
    </w:pPr>
    <w:rPr>
      <w:rFonts w:ascii="Times New Roman" w:hAnsi="Times New Roman" w:eastAsia="方正小标宋_GBK" w:cs="Times New Roman (标题 CS)"/>
      <w:bCs/>
      <w:color w:val="000000" w:themeColor="text1"/>
      <w:kern w:val="2"/>
      <w:sz w:val="44"/>
      <w:szCs w:val="32"/>
      <w:lang w:val="en-US" w:eastAsia="zh-CN" w:bidi="ar-SA"/>
      <w14:textFill>
        <w14:solidFill>
          <w14:schemeClr w14:val="tx1"/>
        </w14:solidFill>
      </w14:textFill>
    </w:rPr>
  </w:style>
  <w:style w:type="paragraph" w:styleId="33">
    <w:name w:val="annotation subject"/>
    <w:basedOn w:val="14"/>
    <w:next w:val="14"/>
    <w:link w:val="54"/>
    <w:unhideWhenUsed/>
    <w:qFormat/>
    <w:uiPriority w:val="99"/>
    <w:rPr>
      <w:b/>
      <w:bCs/>
    </w:rPr>
  </w:style>
  <w:style w:type="table" w:styleId="35">
    <w:name w:val="Table Grid"/>
    <w:basedOn w:val="34"/>
    <w:qFormat/>
    <w:uiPriority w:val="39"/>
    <w:rPr>
      <w:color w:val="aut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qFormat/>
    <w:uiPriority w:val="22"/>
    <w:rPr>
      <w:b/>
      <w:bCs/>
    </w:rPr>
  </w:style>
  <w:style w:type="character" w:styleId="38">
    <w:name w:val="page number"/>
    <w:basedOn w:val="36"/>
    <w:unhideWhenUsed/>
    <w:qFormat/>
    <w:uiPriority w:val="99"/>
    <w:rPr>
      <w:rFonts w:ascii="Times New Roman" w:hAnsi="Times New Roman" w:eastAsia="宋体"/>
      <w:color w:val="auto"/>
      <w:sz w:val="28"/>
    </w:rPr>
  </w:style>
  <w:style w:type="character" w:styleId="39">
    <w:name w:val="Emphasis"/>
    <w:qFormat/>
    <w:uiPriority w:val="20"/>
    <w:rPr>
      <w:i/>
      <w:iCs/>
    </w:rPr>
  </w:style>
  <w:style w:type="character" w:styleId="40">
    <w:name w:val="Hyperlink"/>
    <w:basedOn w:val="36"/>
    <w:unhideWhenUsed/>
    <w:qFormat/>
    <w:uiPriority w:val="99"/>
    <w:rPr>
      <w:rFonts w:eastAsia="方正仿宋_GBK"/>
      <w:color w:val="0563C1" w:themeColor="hyperlink"/>
      <w:sz w:val="32"/>
      <w:u w:val="single"/>
      <w14:textFill>
        <w14:solidFill>
          <w14:schemeClr w14:val="hlink"/>
        </w14:solidFill>
      </w14:textFill>
    </w:rPr>
  </w:style>
  <w:style w:type="character" w:styleId="41">
    <w:name w:val="annotation reference"/>
    <w:basedOn w:val="36"/>
    <w:unhideWhenUsed/>
    <w:qFormat/>
    <w:uiPriority w:val="99"/>
    <w:rPr>
      <w:rFonts w:eastAsia="方正仿宋_GBK"/>
      <w:color w:val="auto"/>
      <w:sz w:val="21"/>
      <w:szCs w:val="21"/>
    </w:rPr>
  </w:style>
  <w:style w:type="character" w:customStyle="1" w:styleId="42">
    <w:name w:val="标题 1 字符"/>
    <w:basedOn w:val="36"/>
    <w:link w:val="2"/>
    <w:qFormat/>
    <w:uiPriority w:val="9"/>
    <w:rPr>
      <w:rFonts w:eastAsia="方正黑体_GBK" w:cs="方正黑体_GBK"/>
      <w:color w:val="auto"/>
      <w:kern w:val="44"/>
      <w:szCs w:val="44"/>
    </w:rPr>
  </w:style>
  <w:style w:type="character" w:customStyle="1" w:styleId="43">
    <w:name w:val="标题 2 字符"/>
    <w:basedOn w:val="36"/>
    <w:link w:val="3"/>
    <w:qFormat/>
    <w:uiPriority w:val="9"/>
    <w:rPr>
      <w:rFonts w:eastAsia="方正楷体_GBK" w:cs="方正楷体_GBK"/>
    </w:rPr>
  </w:style>
  <w:style w:type="character" w:customStyle="1" w:styleId="44">
    <w:name w:val="标题 3 字符"/>
    <w:basedOn w:val="36"/>
    <w:link w:val="4"/>
    <w:qFormat/>
    <w:uiPriority w:val="9"/>
    <w:rPr>
      <w:rFonts w:ascii="Times New Roman" w:hAnsi="Times New Roman" w:eastAsia="方正仿宋_GBK" w:cs="方正仿宋_GBK"/>
      <w:b/>
    </w:rPr>
  </w:style>
  <w:style w:type="character" w:customStyle="1" w:styleId="45">
    <w:name w:val="标题 4 字符"/>
    <w:basedOn w:val="36"/>
    <w:link w:val="5"/>
    <w:qFormat/>
    <w:uiPriority w:val="9"/>
    <w:rPr>
      <w:rFonts w:eastAsia="方正仿宋_GBK" w:cs="方正仿宋_GBK"/>
    </w:rPr>
  </w:style>
  <w:style w:type="character" w:customStyle="1" w:styleId="46">
    <w:name w:val="标题 字符"/>
    <w:basedOn w:val="36"/>
    <w:link w:val="32"/>
    <w:qFormat/>
    <w:uiPriority w:val="10"/>
    <w:rPr>
      <w:rFonts w:eastAsia="方正小标宋_GBK" w:cs="Times New Roman (标题 CS)"/>
      <w:bCs/>
      <w:sz w:val="44"/>
    </w:rPr>
  </w:style>
  <w:style w:type="paragraph" w:customStyle="1" w:styleId="47">
    <w:name w:val="表格标题"/>
    <w:basedOn w:val="1"/>
    <w:qFormat/>
    <w:uiPriority w:val="0"/>
    <w:pPr>
      <w:jc w:val="center"/>
    </w:pPr>
    <w:rPr>
      <w:rFonts w:eastAsia="黑体" w:cs="宋体"/>
      <w:color w:val="000000" w:themeColor="text1"/>
      <w:sz w:val="21"/>
      <w:szCs w:val="21"/>
      <w14:textFill>
        <w14:solidFill>
          <w14:schemeClr w14:val="tx1"/>
        </w14:solidFill>
      </w14:textFill>
    </w:rPr>
  </w:style>
  <w:style w:type="character" w:customStyle="1" w:styleId="48">
    <w:name w:val="页脚 字符"/>
    <w:basedOn w:val="36"/>
    <w:link w:val="21"/>
    <w:qFormat/>
    <w:uiPriority w:val="99"/>
    <w:rPr>
      <w:rFonts w:ascii="Times New Roman" w:hAnsi="Times New Roman" w:eastAsia="宋体"/>
      <w:color w:val="auto"/>
      <w:sz w:val="28"/>
      <w:szCs w:val="28"/>
    </w:rPr>
  </w:style>
  <w:style w:type="paragraph" w:customStyle="1" w:styleId="49">
    <w:name w:val="抄送"/>
    <w:next w:val="1"/>
    <w:qFormat/>
    <w:uiPriority w:val="0"/>
    <w:rPr>
      <w:rFonts w:ascii="方正仿宋_GBK" w:hAnsi="方正仿宋_GBK" w:eastAsia="仿宋" w:cs="方正仿宋_GBK"/>
      <w:color w:val="auto"/>
      <w:kern w:val="2"/>
      <w:sz w:val="32"/>
      <w:szCs w:val="28"/>
      <w:lang w:val="zh-CN" w:eastAsia="zh-CN" w:bidi="ar-SA"/>
    </w:rPr>
  </w:style>
  <w:style w:type="paragraph" w:customStyle="1" w:styleId="50">
    <w:name w:val="公文文号"/>
    <w:basedOn w:val="1"/>
    <w:qFormat/>
    <w:uiPriority w:val="0"/>
    <w:pPr>
      <w:jc w:val="center"/>
    </w:pPr>
    <w:rPr>
      <w:color w:val="000000" w:themeColor="text1"/>
      <w14:textFill>
        <w14:solidFill>
          <w14:schemeClr w14:val="tx1"/>
        </w14:solidFill>
      </w14:textFill>
    </w:rPr>
  </w:style>
  <w:style w:type="paragraph" w:customStyle="1" w:styleId="51">
    <w:name w:val="修订1"/>
    <w:hidden/>
    <w:semiHidden/>
    <w:qFormat/>
    <w:uiPriority w:val="99"/>
    <w:rPr>
      <w:rFonts w:ascii="Times New Roman" w:hAnsi="Times New Roman" w:eastAsia="方正仿宋_GBK" w:cs="仿宋"/>
      <w:color w:val="auto"/>
      <w:kern w:val="2"/>
      <w:sz w:val="32"/>
      <w:szCs w:val="22"/>
      <w:lang w:val="en-US" w:eastAsia="zh-CN" w:bidi="ar-SA"/>
    </w:rPr>
  </w:style>
  <w:style w:type="character" w:customStyle="1" w:styleId="52">
    <w:name w:val="批注框文本 字符"/>
    <w:basedOn w:val="36"/>
    <w:link w:val="20"/>
    <w:qFormat/>
    <w:uiPriority w:val="99"/>
    <w:rPr>
      <w:color w:val="auto"/>
      <w:sz w:val="18"/>
      <w:szCs w:val="18"/>
    </w:rPr>
  </w:style>
  <w:style w:type="character" w:customStyle="1" w:styleId="53">
    <w:name w:val="批注文字 字符"/>
    <w:basedOn w:val="36"/>
    <w:link w:val="14"/>
    <w:qFormat/>
    <w:uiPriority w:val="99"/>
    <w:rPr>
      <w:color w:val="auto"/>
    </w:rPr>
  </w:style>
  <w:style w:type="character" w:customStyle="1" w:styleId="54">
    <w:name w:val="批注主题 字符"/>
    <w:basedOn w:val="53"/>
    <w:link w:val="33"/>
    <w:qFormat/>
    <w:uiPriority w:val="99"/>
    <w:rPr>
      <w:b/>
      <w:bCs/>
      <w:color w:val="auto"/>
    </w:rPr>
  </w:style>
  <w:style w:type="character" w:customStyle="1" w:styleId="55">
    <w:name w:val="标题 9 字符"/>
    <w:basedOn w:val="36"/>
    <w:link w:val="10"/>
    <w:semiHidden/>
    <w:qFormat/>
    <w:uiPriority w:val="9"/>
    <w:rPr>
      <w:rFonts w:asciiTheme="majorHAnsi" w:hAnsiTheme="majorHAnsi" w:eastAsiaTheme="majorEastAsia" w:cstheme="majorBidi"/>
      <w:color w:val="auto"/>
      <w:szCs w:val="21"/>
    </w:rPr>
  </w:style>
  <w:style w:type="character" w:customStyle="1" w:styleId="56">
    <w:name w:val="副标题 字符"/>
    <w:basedOn w:val="36"/>
    <w:link w:val="26"/>
    <w:qFormat/>
    <w:uiPriority w:val="11"/>
    <w:rPr>
      <w:rFonts w:ascii="Times New Roman" w:hAnsi="Times New Roman" w:eastAsia="方正楷体_GBK"/>
      <w:color w:val="auto"/>
      <w:sz w:val="32"/>
    </w:rPr>
  </w:style>
  <w:style w:type="paragraph" w:styleId="57">
    <w:name w:val="List Paragraph"/>
    <w:basedOn w:val="1"/>
    <w:qFormat/>
    <w:uiPriority w:val="34"/>
    <w:pPr>
      <w:ind w:firstLine="420" w:firstLineChars="200"/>
    </w:pPr>
  </w:style>
  <w:style w:type="table" w:customStyle="1" w:styleId="58">
    <w:name w:val="Plain Table 1"/>
    <w:basedOn w:val="34"/>
    <w:qFormat/>
    <w:uiPriority w:val="41"/>
    <w:rPr>
      <w:color w:val="auto"/>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59">
    <w:name w:val="页眉 字符"/>
    <w:basedOn w:val="36"/>
    <w:link w:val="22"/>
    <w:qFormat/>
    <w:uiPriority w:val="99"/>
    <w:rPr>
      <w:rFonts w:hAnsi="宋体"/>
      <w:color w:val="auto"/>
      <w:sz w:val="18"/>
      <w:szCs w:val="18"/>
    </w:rPr>
  </w:style>
  <w:style w:type="table" w:customStyle="1" w:styleId="60">
    <w:name w:val="Grid Table Light"/>
    <w:basedOn w:val="34"/>
    <w:qFormat/>
    <w:uiPriority w:val="40"/>
    <w:rPr>
      <w:color w:val="auto"/>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61">
    <w:name w:val="JSAI表格5号"/>
    <w:basedOn w:val="34"/>
    <w:qFormat/>
    <w:uiPriority w:val="99"/>
    <w:pPr>
      <w:spacing w:line="280" w:lineRule="exact"/>
      <w:jc w:val="center"/>
    </w:pPr>
    <w:rPr>
      <w:color w:val="auto"/>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trPr>
      <w:jc w:val="center"/>
    </w:trPr>
    <w:tcPr>
      <w:vAlign w:val="center"/>
    </w:tcPr>
    <w:tblStylePr w:type="firstRow">
      <w:rPr>
        <w:rFonts w:eastAsia="方正黑体_GBK"/>
      </w:rPr>
    </w:tblStylePr>
    <w:tblStylePr w:type="firstCol">
      <w:rPr>
        <w:rFonts w:eastAsia="方正楷体_GBK"/>
      </w:rPr>
    </w:tblStylePr>
  </w:style>
  <w:style w:type="table" w:customStyle="1" w:styleId="62">
    <w:name w:val="Plain Table 4"/>
    <w:basedOn w:val="34"/>
    <w:qFormat/>
    <w:uiPriority w:val="44"/>
    <w:rPr>
      <w:color w:val="auto"/>
    </w:r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3">
    <w:name w:val="Plain Table 5"/>
    <w:basedOn w:val="34"/>
    <w:qFormat/>
    <w:uiPriority w:val="45"/>
    <w:rPr>
      <w:color w:val="auto"/>
    </w:r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4">
    <w:name w:val="Grid Table 2 Accent 1"/>
    <w:basedOn w:val="34"/>
    <w:qFormat/>
    <w:uiPriority w:val="47"/>
    <w:rPr>
      <w:color w:val="auto"/>
    </w:rPr>
    <w:tblPr>
      <w:tblBorders>
        <w:top w:val="single" w:color="8EAADB" w:themeColor="accent1" w:themeTint="99" w:sz="2" w:space="0"/>
        <w:bottom w:val="single" w:color="8EAADB" w:themeColor="accent1" w:themeTint="99" w:sz="2" w:space="0"/>
        <w:insideH w:val="single" w:color="8EAADB" w:themeColor="accent1" w:themeTint="99" w:sz="2" w:space="0"/>
        <w:insideV w:val="single" w:color="8EAADB" w:themeColor="accent1" w:themeTint="99" w:sz="2" w:space="0"/>
      </w:tblBorders>
    </w:tblPr>
    <w:tblStylePr w:type="firstRow">
      <w:rPr>
        <w:b/>
        <w:bCs/>
      </w:rPr>
      <w:tcPr>
        <w:tcBorders>
          <w:top w:val="nil"/>
          <w:bottom w:val="single" w:color="8EAADB" w:themeColor="accent1" w:themeTint="99" w:sz="12" w:space="0"/>
          <w:insideH w:val="nil"/>
          <w:insideV w:val="nil"/>
        </w:tcBorders>
        <w:shd w:val="clear" w:color="auto" w:fill="FFFFFF" w:themeFill="background1"/>
      </w:tcPr>
    </w:tblStylePr>
    <w:tblStylePr w:type="lastRow">
      <w:rPr>
        <w:b/>
        <w:bCs/>
      </w:rPr>
      <w:tcPr>
        <w:tcBorders>
          <w:top w:val="double" w:color="8EAADB"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65">
    <w:name w:val="Grid Table 2 Accent 2"/>
    <w:basedOn w:val="34"/>
    <w:qFormat/>
    <w:uiPriority w:val="47"/>
    <w:rPr>
      <w:color w:val="auto"/>
    </w:rPr>
    <w:tblPr>
      <w:tblBorders>
        <w:top w:val="single" w:color="F4B083" w:themeColor="accent2" w:themeTint="99" w:sz="2" w:space="0"/>
        <w:bottom w:val="single" w:color="F4B083" w:themeColor="accent2" w:themeTint="99" w:sz="2" w:space="0"/>
        <w:insideH w:val="single" w:color="F4B083" w:themeColor="accent2" w:themeTint="99" w:sz="2" w:space="0"/>
        <w:insideV w:val="single" w:color="F4B083" w:themeColor="accent2" w:themeTint="99" w:sz="2" w:space="0"/>
      </w:tblBorders>
    </w:tblPr>
    <w:tblStylePr w:type="firstRow">
      <w:rPr>
        <w:b/>
        <w:bCs/>
      </w:rPr>
      <w:tcPr>
        <w:tcBorders>
          <w:top w:val="nil"/>
          <w:bottom w:val="single" w:color="F4B083" w:themeColor="accent2" w:themeTint="99" w:sz="12" w:space="0"/>
          <w:insideH w:val="nil"/>
          <w:insideV w:val="nil"/>
        </w:tcBorders>
        <w:shd w:val="clear" w:color="auto" w:fill="FFFFFF" w:themeFill="background1"/>
      </w:tcPr>
    </w:tblStylePr>
    <w:tblStylePr w:type="lastRow">
      <w:rPr>
        <w:b/>
        <w:bCs/>
      </w:rPr>
      <w:tcPr>
        <w:tcBorders>
          <w:top w:val="double" w:color="F4B0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66">
    <w:name w:val="Grid Table 1 Light Accent 6"/>
    <w:basedOn w:val="34"/>
    <w:qFormat/>
    <w:uiPriority w:val="46"/>
    <w:rPr>
      <w:color w:val="auto"/>
    </w:rPr>
    <w:tblPr>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cPr>
        <w:tcBorders>
          <w:bottom w:val="single" w:color="A8D08D" w:themeColor="accent6" w:themeTint="99" w:sz="12" w:space="0"/>
        </w:tcBorders>
      </w:tcPr>
    </w:tblStylePr>
    <w:tblStylePr w:type="lastRow">
      <w:rPr>
        <w:b/>
        <w:bCs/>
      </w:rPr>
      <w:tcPr>
        <w:tcBorders>
          <w:top w:val="double" w:color="A8D08D" w:themeColor="accent6" w:themeTint="99" w:sz="2" w:space="0"/>
        </w:tcBorders>
      </w:tcPr>
    </w:tblStylePr>
    <w:tblStylePr w:type="firstCol">
      <w:rPr>
        <w:b/>
        <w:bCs/>
      </w:rPr>
    </w:tblStylePr>
    <w:tblStylePr w:type="lastCol">
      <w:rPr>
        <w:b/>
        <w:bCs/>
      </w:rPr>
    </w:tblStylePr>
  </w:style>
  <w:style w:type="table" w:customStyle="1" w:styleId="67">
    <w:name w:val="Grid Table 1 Light Accent 5"/>
    <w:basedOn w:val="34"/>
    <w:qFormat/>
    <w:uiPriority w:val="46"/>
    <w:rPr>
      <w:color w:val="auto"/>
    </w:rPr>
    <w:tblPr>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cPr>
        <w:tcBorders>
          <w:bottom w:val="single" w:color="9CC2E5" w:themeColor="accent5" w:themeTint="99" w:sz="12" w:space="0"/>
        </w:tcBorders>
      </w:tcPr>
    </w:tblStylePr>
    <w:tblStylePr w:type="lastRow">
      <w:rPr>
        <w:b/>
        <w:bCs/>
      </w:rPr>
      <w:tcPr>
        <w:tcBorders>
          <w:top w:val="double" w:color="9CC2E5" w:themeColor="accent5" w:themeTint="99" w:sz="2" w:space="0"/>
        </w:tcBorders>
      </w:tcPr>
    </w:tblStylePr>
    <w:tblStylePr w:type="firstCol">
      <w:rPr>
        <w:b/>
        <w:bCs/>
      </w:rPr>
    </w:tblStylePr>
    <w:tblStylePr w:type="lastCol">
      <w:rPr>
        <w:b/>
        <w:bCs/>
      </w:rPr>
    </w:tblStylePr>
  </w:style>
  <w:style w:type="table" w:customStyle="1" w:styleId="68">
    <w:name w:val="Grid Table 1 Light Accent 4"/>
    <w:basedOn w:val="34"/>
    <w:qFormat/>
    <w:uiPriority w:val="46"/>
    <w:rPr>
      <w:color w:val="auto"/>
    </w:rPr>
    <w:tblPr>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2" w:space="0"/>
        </w:tcBorders>
      </w:tcPr>
    </w:tblStylePr>
    <w:tblStylePr w:type="firstCol">
      <w:rPr>
        <w:b/>
        <w:bCs/>
      </w:rPr>
    </w:tblStylePr>
    <w:tblStylePr w:type="lastCol">
      <w:rPr>
        <w:b/>
        <w:bCs/>
      </w:rPr>
    </w:tblStylePr>
  </w:style>
  <w:style w:type="table" w:customStyle="1" w:styleId="69">
    <w:name w:val="List Table 1 Light Accent 1"/>
    <w:basedOn w:val="34"/>
    <w:qFormat/>
    <w:uiPriority w:val="46"/>
    <w:rPr>
      <w:color w:val="auto"/>
    </w:rPr>
    <w:tblStylePr w:type="firstRow">
      <w:rPr>
        <w:b/>
        <w:bCs/>
      </w:rPr>
      <w:tcPr>
        <w:tcBorders>
          <w:bottom w:val="single" w:color="8EAADB" w:themeColor="accent1" w:themeTint="99" w:sz="4" w:space="0"/>
        </w:tcBorders>
      </w:tcPr>
    </w:tblStylePr>
    <w:tblStylePr w:type="lastRow">
      <w:rPr>
        <w:b/>
        <w:bCs/>
      </w:rPr>
      <w:tcPr>
        <w:tcBorders>
          <w:top w:val="single" w:color="8EAADB" w:themeColor="accent1" w:themeTint="99"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70">
    <w:name w:val="List Table 1 Light Accent 2"/>
    <w:basedOn w:val="34"/>
    <w:qFormat/>
    <w:uiPriority w:val="46"/>
    <w:rPr>
      <w:color w:val="auto"/>
    </w:rPr>
    <w:tblStylePr w:type="firstRow">
      <w:rPr>
        <w:b/>
        <w:bCs/>
      </w:rPr>
      <w:tcPr>
        <w:tcBorders>
          <w:bottom w:val="single" w:color="F4B083" w:themeColor="accent2" w:themeTint="99" w:sz="4" w:space="0"/>
        </w:tcBorders>
      </w:tcPr>
    </w:tblStylePr>
    <w:tblStylePr w:type="lastRow">
      <w:rPr>
        <w:b/>
        <w:bCs/>
      </w:rPr>
      <w:tcPr>
        <w:tcBorders>
          <w:top w:val="sing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71">
    <w:name w:val="List Table 1 Light Accent 3"/>
    <w:basedOn w:val="34"/>
    <w:qFormat/>
    <w:uiPriority w:val="46"/>
    <w:rPr>
      <w:color w:val="auto"/>
    </w:rPr>
    <w:tblStylePr w:type="firstRow">
      <w:rPr>
        <w:b/>
        <w:bCs/>
      </w:rPr>
      <w:tcPr>
        <w:tcBorders>
          <w:bottom w:val="single" w:color="C8C8C8" w:themeColor="accent3" w:themeTint="99" w:sz="4" w:space="0"/>
        </w:tcBorders>
      </w:tcPr>
    </w:tblStylePr>
    <w:tblStylePr w:type="lastRow">
      <w:rPr>
        <w:b/>
        <w:bCs/>
      </w:rPr>
      <w:tcPr>
        <w:tcBorders>
          <w:top w:val="sing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72">
    <w:name w:val="List Table 1 Light Accent 4"/>
    <w:basedOn w:val="34"/>
    <w:qFormat/>
    <w:uiPriority w:val="46"/>
    <w:rPr>
      <w:color w:val="auto"/>
    </w:rPr>
    <w:tblStylePr w:type="firstRow">
      <w:rPr>
        <w:b/>
        <w:bCs/>
      </w:rPr>
      <w:tcPr>
        <w:tcBorders>
          <w:bottom w:val="single" w:color="FFD965" w:themeColor="accent4" w:themeTint="99" w:sz="4" w:space="0"/>
        </w:tcBorders>
      </w:tcPr>
    </w:tblStylePr>
    <w:tblStylePr w:type="lastRow">
      <w:rPr>
        <w:b/>
        <w:bCs/>
      </w:rPr>
      <w:tcPr>
        <w:tcBorders>
          <w:top w:val="sing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73">
    <w:name w:val="List Table 1 Light Accent 5"/>
    <w:basedOn w:val="34"/>
    <w:qFormat/>
    <w:uiPriority w:val="46"/>
    <w:rPr>
      <w:color w:val="auto"/>
    </w:rPr>
    <w:tblStylePr w:type="firstRow">
      <w:rPr>
        <w:b/>
        <w:bCs/>
      </w:rPr>
      <w:tcPr>
        <w:tcBorders>
          <w:bottom w:val="single" w:color="9CC2E5" w:themeColor="accent5" w:themeTint="99" w:sz="4" w:space="0"/>
        </w:tcBorders>
      </w:tcPr>
    </w:tblStylePr>
    <w:tblStylePr w:type="lastRow">
      <w:rPr>
        <w:b/>
        <w:bCs/>
      </w:rPr>
      <w:tcPr>
        <w:tcBorders>
          <w:top w:val="single" w:color="9CC2E5" w:themeColor="accent5" w:themeTint="99" w:sz="4" w:space="0"/>
        </w:tcBorders>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74">
    <w:name w:val="Grid Table 7 Colorful Accent 6"/>
    <w:basedOn w:val="34"/>
    <w:qFormat/>
    <w:uiPriority w:val="52"/>
    <w:rPr>
      <w:color w:val="548235" w:themeColor="accent6" w:themeShade="BF"/>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75">
    <w:name w:val="Grid Table 7 Colorful Accent 5"/>
    <w:basedOn w:val="34"/>
    <w:qFormat/>
    <w:uiPriority w:val="52"/>
    <w:rPr>
      <w:color w:val="2E75B6" w:themeColor="accent5" w:themeShade="BF"/>
    </w:rPr>
    <w:tblPr>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5" w:themeFillTint="33"/>
      </w:tcPr>
    </w:tblStylePr>
    <w:tblStylePr w:type="band1Horz">
      <w:tcPr>
        <w:shd w:val="clear" w:color="auto" w:fill="DEEAF6" w:themeFill="accent5" w:themeFillTint="33"/>
      </w:tcPr>
    </w:tblStylePr>
    <w:tblStylePr w:type="neCell">
      <w:tcPr>
        <w:tcBorders>
          <w:bottom w:val="single" w:color="9CC2E5" w:themeColor="accent5" w:themeTint="99" w:sz="4" w:space="0"/>
        </w:tcBorders>
      </w:tcPr>
    </w:tblStylePr>
    <w:tblStylePr w:type="nwCell">
      <w:tcPr>
        <w:tcBorders>
          <w:bottom w:val="single" w:color="9CC2E5" w:themeColor="accent5" w:themeTint="99" w:sz="4" w:space="0"/>
        </w:tcBorders>
      </w:tcPr>
    </w:tblStylePr>
    <w:tblStylePr w:type="seCell">
      <w:tcPr>
        <w:tcBorders>
          <w:top w:val="single" w:color="9CC2E5" w:themeColor="accent5" w:themeTint="99" w:sz="4" w:space="0"/>
        </w:tcBorders>
      </w:tcPr>
    </w:tblStylePr>
    <w:tblStylePr w:type="swCell">
      <w:tcPr>
        <w:tcBorders>
          <w:top w:val="single" w:color="9CC2E5" w:themeColor="accent5" w:themeTint="99" w:sz="4" w:space="0"/>
        </w:tcBorders>
      </w:tcPr>
    </w:tblStylePr>
  </w:style>
  <w:style w:type="table" w:customStyle="1" w:styleId="76">
    <w:name w:val="Grid Table 7 Colorful Accent 4"/>
    <w:basedOn w:val="34"/>
    <w:qFormat/>
    <w:uiPriority w:val="52"/>
    <w:rPr>
      <w:color w:val="BF9000" w:themeColor="accent4" w:themeShade="BF"/>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77">
    <w:name w:val="List Table 1 Light"/>
    <w:basedOn w:val="34"/>
    <w:qFormat/>
    <w:uiPriority w:val="46"/>
    <w:rPr>
      <w:color w:val="auto"/>
    </w:rPr>
    <w:tblStylePr w:type="firstRow">
      <w:rPr>
        <w:b/>
        <w:bCs/>
      </w:rPr>
      <w:tcPr>
        <w:tcBorders>
          <w:bottom w:val="single" w:color="666666" w:themeColor="text1" w:themeTint="99" w:sz="4" w:space="0"/>
        </w:tcBorders>
      </w:tcPr>
    </w:tblStylePr>
    <w:tblStylePr w:type="lastRow">
      <w:rPr>
        <w:b/>
        <w:bCs/>
      </w:rPr>
      <w:tcPr>
        <w:tcBorders>
          <w:top w:val="sing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78">
    <w:name w:val="List Table 7 Colorful Accent 6"/>
    <w:basedOn w:val="34"/>
    <w:qFormat/>
    <w:uiPriority w:val="52"/>
    <w:rPr>
      <w:color w:val="548235" w:themeColor="accent6" w:themeShade="BF"/>
    </w:rPr>
    <w:tblStylePr w:type="firstRow">
      <w:rPr>
        <w:rFonts w:asciiTheme="majorHAnsi" w:hAnsiTheme="majorHAnsi" w:eastAsiaTheme="majorEastAsia" w:cstheme="majorBidi"/>
        <w:i/>
        <w:iCs/>
        <w:sz w:val="26"/>
      </w:r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0AD47" w:themeColor="accent6" w:sz="4" w:space="0"/>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79">
    <w:name w:val="List Table 7 Colorful Accent 5"/>
    <w:basedOn w:val="34"/>
    <w:qFormat/>
    <w:uiPriority w:val="52"/>
    <w:rPr>
      <w:color w:val="2E75B6" w:themeColor="accent5" w:themeShade="BF"/>
    </w:rPr>
    <w:tblStylePr w:type="firstRow">
      <w:rPr>
        <w:rFonts w:asciiTheme="majorHAnsi" w:hAnsiTheme="majorHAnsi" w:eastAsiaTheme="majorEastAsia" w:cstheme="majorBidi"/>
        <w:i/>
        <w:iCs/>
        <w:sz w:val="26"/>
      </w:rPr>
      <w:tcPr>
        <w:tcBorders>
          <w:bottom w:val="single" w:color="5B9BD5" w:themeColor="accent5"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5B9BD5"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5B9BD5" w:themeColor="accent5"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5B9BD5" w:themeColor="accent5" w:sz="4" w:space="0"/>
        </w:tcBorders>
        <w:shd w:val="clear" w:color="auto" w:fill="FFFFFF" w:themeFill="background1"/>
      </w:tcPr>
    </w:tblStylePr>
    <w:tblStylePr w:type="band1Vert">
      <w:tcPr>
        <w:shd w:val="clear" w:color="auto" w:fill="DEEAF6" w:themeFill="accent5" w:themeFillTint="33"/>
      </w:tcPr>
    </w:tblStylePr>
    <w:tblStylePr w:type="band1Horz">
      <w:tcPr>
        <w:shd w:val="clear" w:color="auto" w:fill="DEEAF6" w:themeFill="accent5"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80">
    <w:name w:val="JSAI表格3号"/>
    <w:basedOn w:val="61"/>
    <w:qFormat/>
    <w:uiPriority w:val="99"/>
    <w:pPr>
      <w:spacing w:line="400" w:lineRule="exact"/>
    </w:pPr>
    <w:rPr>
      <w:sz w:val="32"/>
    </w:rPr>
    <w:tblStylePr w:type="firstRow">
      <w:rPr>
        <w:rFonts w:eastAsia="方正黑体_GBK"/>
      </w:rPr>
    </w:tblStylePr>
    <w:tblStylePr w:type="firstCol">
      <w:rPr>
        <w:rFonts w:eastAsia="方正楷体_GBK"/>
      </w:rPr>
    </w:tblStylePr>
  </w:style>
  <w:style w:type="table" w:customStyle="1" w:styleId="81">
    <w:name w:val="JSAI表格4号"/>
    <w:basedOn w:val="61"/>
    <w:qFormat/>
    <w:uiPriority w:val="99"/>
    <w:pPr>
      <w:spacing w:line="360" w:lineRule="exact"/>
    </w:pPr>
    <w:rPr>
      <w:sz w:val="28"/>
    </w:rPr>
    <w:tblStylePr w:type="firstRow">
      <w:rPr>
        <w:rFonts w:eastAsia="方正黑体_GBK"/>
      </w:rPr>
    </w:tblStylePr>
    <w:tblStylePr w:type="firstCol">
      <w:rPr>
        <w:rFonts w:eastAsia="方正楷体_GBK"/>
      </w:rPr>
    </w:tblStylePr>
  </w:style>
  <w:style w:type="table" w:customStyle="1" w:styleId="82">
    <w:name w:val="JSAI表格4号小"/>
    <w:basedOn w:val="61"/>
    <w:qFormat/>
    <w:uiPriority w:val="99"/>
    <w:pPr>
      <w:spacing w:line="320" w:lineRule="exact"/>
    </w:pPr>
    <w:rPr>
      <w:sz w:val="24"/>
    </w:rPr>
    <w:tblStylePr w:type="firstRow">
      <w:rPr>
        <w:rFonts w:eastAsia="方正黑体_GBK"/>
      </w:rPr>
    </w:tblStylePr>
    <w:tblStylePr w:type="firstCol">
      <w:rPr>
        <w:rFonts w:eastAsia="方正楷体_GBK"/>
      </w:rPr>
    </w:tblStylePr>
  </w:style>
  <w:style w:type="paragraph" w:customStyle="1" w:styleId="83">
    <w:name w:val="图表标题5号"/>
    <w:basedOn w:val="1"/>
    <w:qFormat/>
    <w:uiPriority w:val="0"/>
    <w:pPr>
      <w:numPr>
        <w:ilvl w:val="0"/>
        <w:numId w:val="2"/>
      </w:numPr>
      <w:jc w:val="center"/>
    </w:pPr>
    <w:rPr>
      <w:rFonts w:eastAsia="黑体" w:cs="宋体"/>
      <w:sz w:val="21"/>
      <w:szCs w:val="21"/>
    </w:rPr>
  </w:style>
  <w:style w:type="character" w:customStyle="1" w:styleId="84">
    <w:name w:val="标题 5 字符"/>
    <w:basedOn w:val="36"/>
    <w:link w:val="6"/>
    <w:semiHidden/>
    <w:qFormat/>
    <w:uiPriority w:val="9"/>
    <w:rPr>
      <w:b/>
      <w:bCs/>
      <w:color w:val="auto"/>
      <w:sz w:val="28"/>
      <w:szCs w:val="28"/>
    </w:rPr>
  </w:style>
  <w:style w:type="character" w:customStyle="1" w:styleId="85">
    <w:name w:val="标题 6 字符"/>
    <w:basedOn w:val="36"/>
    <w:link w:val="7"/>
    <w:semiHidden/>
    <w:qFormat/>
    <w:uiPriority w:val="9"/>
    <w:rPr>
      <w:rFonts w:asciiTheme="majorHAnsi" w:hAnsiTheme="majorHAnsi" w:eastAsiaTheme="majorEastAsia" w:cstheme="majorBidi"/>
      <w:b/>
      <w:bCs/>
      <w:color w:val="auto"/>
      <w:sz w:val="24"/>
    </w:rPr>
  </w:style>
  <w:style w:type="character" w:customStyle="1" w:styleId="86">
    <w:name w:val="标题 7 字符"/>
    <w:basedOn w:val="36"/>
    <w:link w:val="8"/>
    <w:semiHidden/>
    <w:qFormat/>
    <w:uiPriority w:val="9"/>
    <w:rPr>
      <w:b/>
      <w:bCs/>
      <w:color w:val="auto"/>
      <w:sz w:val="24"/>
    </w:rPr>
  </w:style>
  <w:style w:type="character" w:customStyle="1" w:styleId="87">
    <w:name w:val="标题 8 字符"/>
    <w:basedOn w:val="36"/>
    <w:link w:val="9"/>
    <w:semiHidden/>
    <w:qFormat/>
    <w:uiPriority w:val="9"/>
    <w:rPr>
      <w:rFonts w:asciiTheme="majorHAnsi" w:hAnsiTheme="majorHAnsi" w:eastAsiaTheme="majorEastAsia" w:cstheme="majorBidi"/>
      <w:color w:val="auto"/>
      <w:sz w:val="24"/>
    </w:rPr>
  </w:style>
  <w:style w:type="paragraph" w:styleId="88">
    <w:name w:val="Quote"/>
    <w:basedOn w:val="1"/>
    <w:next w:val="1"/>
    <w:link w:val="8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89">
    <w:name w:val="引用 字符"/>
    <w:basedOn w:val="36"/>
    <w:link w:val="88"/>
    <w:qFormat/>
    <w:uiPriority w:val="29"/>
    <w:rPr>
      <w:i/>
      <w:iCs/>
      <w:color w:val="404040" w:themeColor="text1" w:themeTint="BF"/>
      <w14:textFill>
        <w14:solidFill>
          <w14:schemeClr w14:val="tx1">
            <w14:lumMod w14:val="75000"/>
            <w14:lumOff w14:val="25000"/>
          </w14:schemeClr>
        </w14:solidFill>
      </w14:textFill>
    </w:rPr>
  </w:style>
  <w:style w:type="paragraph" w:styleId="90">
    <w:name w:val="Intense Quote"/>
    <w:basedOn w:val="1"/>
    <w:next w:val="1"/>
    <w:link w:val="91"/>
    <w:qFormat/>
    <w:uiPriority w:val="30"/>
    <w:pPr>
      <w:pBdr>
        <w:top w:val="single" w:color="4472C4" w:themeColor="accent1" w:sz="4" w:space="10"/>
        <w:bottom w:val="single" w:color="4472C4" w:themeColor="accent1" w:sz="4" w:space="10"/>
      </w:pBdr>
      <w:spacing w:before="360" w:after="360"/>
      <w:ind w:left="864" w:right="864"/>
      <w:jc w:val="center"/>
    </w:pPr>
    <w:rPr>
      <w:i/>
      <w:iCs/>
      <w:color w:val="4472C4" w:themeColor="accent1"/>
      <w14:textFill>
        <w14:solidFill>
          <w14:schemeClr w14:val="accent1"/>
        </w14:solidFill>
      </w14:textFill>
    </w:rPr>
  </w:style>
  <w:style w:type="character" w:customStyle="1" w:styleId="91">
    <w:name w:val="明显引用 字符"/>
    <w:basedOn w:val="36"/>
    <w:link w:val="90"/>
    <w:qFormat/>
    <w:uiPriority w:val="30"/>
    <w:rPr>
      <w:i/>
      <w:iCs/>
      <w:color w:val="4472C4" w:themeColor="accent1"/>
      <w14:textFill>
        <w14:solidFill>
          <w14:schemeClr w14:val="accent1"/>
        </w14:solidFill>
      </w14:textFill>
    </w:rPr>
  </w:style>
  <w:style w:type="character" w:customStyle="1" w:styleId="92">
    <w:name w:val="Subtle Emphasis"/>
    <w:qFormat/>
    <w:uiPriority w:val="19"/>
    <w:rPr>
      <w:i/>
      <w:iCs/>
      <w:color w:val="404040" w:themeColor="text1" w:themeTint="BF"/>
      <w14:textFill>
        <w14:solidFill>
          <w14:schemeClr w14:val="tx1">
            <w14:lumMod w14:val="75000"/>
            <w14:lumOff w14:val="25000"/>
          </w14:schemeClr>
        </w14:solidFill>
      </w14:textFill>
    </w:rPr>
  </w:style>
  <w:style w:type="character" w:customStyle="1" w:styleId="93">
    <w:name w:val="Intense Emphasis"/>
    <w:qFormat/>
    <w:uiPriority w:val="21"/>
    <w:rPr>
      <w:i/>
      <w:iCs/>
      <w:color w:val="4472C4" w:themeColor="accent1"/>
      <w14:textFill>
        <w14:solidFill>
          <w14:schemeClr w14:val="accent1"/>
        </w14:solidFill>
      </w14:textFill>
    </w:rPr>
  </w:style>
  <w:style w:type="character" w:customStyle="1" w:styleId="94">
    <w:name w:val="Subtle Reference"/>
    <w:qFormat/>
    <w:uiPriority w:val="31"/>
    <w:rPr>
      <w:smallCaps/>
      <w:color w:val="595959" w:themeColor="text1" w:themeTint="A6"/>
      <w14:textFill>
        <w14:solidFill>
          <w14:schemeClr w14:val="tx1">
            <w14:lumMod w14:val="65000"/>
            <w14:lumOff w14:val="35000"/>
          </w14:schemeClr>
        </w14:solidFill>
      </w14:textFill>
    </w:rPr>
  </w:style>
  <w:style w:type="character" w:customStyle="1" w:styleId="95">
    <w:name w:val="Intense Reference"/>
    <w:qFormat/>
    <w:uiPriority w:val="32"/>
    <w:rPr>
      <w:b/>
      <w:bCs/>
      <w:smallCaps/>
      <w:color w:val="4472C4" w:themeColor="accent1"/>
      <w:spacing w:val="5"/>
      <w14:textFill>
        <w14:solidFill>
          <w14:schemeClr w14:val="accent1"/>
        </w14:solidFill>
      </w14:textFill>
    </w:rPr>
  </w:style>
  <w:style w:type="character" w:customStyle="1" w:styleId="96">
    <w:name w:val="Book Title"/>
    <w:qFormat/>
    <w:uiPriority w:val="33"/>
    <w:rPr>
      <w:b/>
      <w:bCs/>
      <w:i/>
      <w:iCs/>
      <w:spacing w:val="5"/>
    </w:rPr>
  </w:style>
  <w:style w:type="paragraph" w:customStyle="1" w:styleId="97">
    <w:name w:val="TOC Heading"/>
    <w:next w:val="1"/>
    <w:semiHidden/>
    <w:unhideWhenUsed/>
    <w:qFormat/>
    <w:uiPriority w:val="39"/>
    <w:pPr>
      <w:keepNext/>
      <w:keepLines/>
      <w:widowControl w:val="0"/>
      <w:spacing w:before="340" w:after="330"/>
      <w:jc w:val="both"/>
    </w:pPr>
    <w:rPr>
      <w:rFonts w:ascii="Times New Roman" w:hAnsi="Times New Roman" w:eastAsia="楷体" w:cs="Times New Roman (正文 CS 字体)"/>
      <w:b/>
      <w:bCs/>
      <w:color w:val="auto"/>
      <w:kern w:val="44"/>
      <w:sz w:val="32"/>
      <w:szCs w:val="44"/>
      <w:lang w:val="en-US" w:eastAsia="zh-CN" w:bidi="ar-SA"/>
    </w:rPr>
  </w:style>
  <w:style w:type="table" w:customStyle="1" w:styleId="98">
    <w:name w:val="JSAI表单5号"/>
    <w:basedOn w:val="61"/>
    <w:qFormat/>
    <w:uiPriority w:val="99"/>
    <w:rPr>
      <w:rFonts w:eastAsia="仿宋"/>
    </w:rPr>
    <w:tblStylePr w:type="firstRow">
      <w:rPr>
        <w:rFonts w:eastAsia="黑体"/>
      </w:rPr>
    </w:tblStylePr>
    <w:tblStylePr w:type="firstCol">
      <w:rPr>
        <w:rFonts w:eastAsia="楷体"/>
      </w:rPr>
    </w:tblStylePr>
  </w:style>
  <w:style w:type="table" w:customStyle="1" w:styleId="99">
    <w:name w:val="Grid Table 2"/>
    <w:basedOn w:val="34"/>
    <w:qFormat/>
    <w:uiPriority w:val="47"/>
    <w:rPr>
      <w:color w:val="auto"/>
    </w:rPr>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100">
    <w:name w:val="Grid Table 1 Light Accent 3"/>
    <w:basedOn w:val="34"/>
    <w:qFormat/>
    <w:uiPriority w:val="46"/>
    <w:rPr>
      <w:color w:val="auto"/>
    </w:rPr>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table" w:customStyle="1" w:styleId="101">
    <w:name w:val="Grid Table 4 Accent 1"/>
    <w:basedOn w:val="34"/>
    <w:qFormat/>
    <w:uiPriority w:val="49"/>
    <w:rPr>
      <w:color w:val="auto"/>
    </w:r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cPr>
        <w:tcBorders>
          <w:top w:val="double" w:color="4472C4" w:themeColor="accent1"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102">
    <w:name w:val="Grid Table 4"/>
    <w:basedOn w:val="34"/>
    <w:qFormat/>
    <w:uiPriority w:val="49"/>
    <w:rPr>
      <w:color w:val="auto"/>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103">
    <w:name w:val="Grid Table 3 Accent 6"/>
    <w:basedOn w:val="34"/>
    <w:qFormat/>
    <w:uiPriority w:val="48"/>
    <w:rPr>
      <w:color w:val="auto"/>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104">
    <w:name w:val="Grid Table 3 Accent 5"/>
    <w:basedOn w:val="34"/>
    <w:qFormat/>
    <w:uiPriority w:val="48"/>
    <w:rPr>
      <w:color w:val="auto"/>
    </w:rPr>
    <w:tblPr>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5" w:themeFillTint="33"/>
      </w:tcPr>
    </w:tblStylePr>
    <w:tblStylePr w:type="band1Horz">
      <w:tcPr>
        <w:shd w:val="clear" w:color="auto" w:fill="DEEAF6" w:themeFill="accent5" w:themeFillTint="33"/>
      </w:tcPr>
    </w:tblStylePr>
    <w:tblStylePr w:type="neCell">
      <w:tcPr>
        <w:tcBorders>
          <w:bottom w:val="single" w:color="9CC2E5" w:themeColor="accent5" w:themeTint="99" w:sz="4" w:space="0"/>
        </w:tcBorders>
      </w:tcPr>
    </w:tblStylePr>
    <w:tblStylePr w:type="nwCell">
      <w:tcPr>
        <w:tcBorders>
          <w:bottom w:val="single" w:color="9CC2E5" w:themeColor="accent5" w:themeTint="99" w:sz="4" w:space="0"/>
        </w:tcBorders>
      </w:tcPr>
    </w:tblStylePr>
    <w:tblStylePr w:type="seCell">
      <w:tcPr>
        <w:tcBorders>
          <w:top w:val="single" w:color="9CC2E5" w:themeColor="accent5" w:themeTint="99" w:sz="4" w:space="0"/>
        </w:tcBorders>
      </w:tcPr>
    </w:tblStylePr>
    <w:tblStylePr w:type="swCell">
      <w:tcPr>
        <w:tcBorders>
          <w:top w:val="single" w:color="9CC2E5" w:themeColor="accent5" w:themeTint="99" w:sz="4" w:space="0"/>
        </w:tcBorders>
      </w:tcPr>
    </w:tblStylePr>
  </w:style>
  <w:style w:type="table" w:customStyle="1" w:styleId="105">
    <w:name w:val="Grid Table 3 Accent 4"/>
    <w:basedOn w:val="34"/>
    <w:qFormat/>
    <w:uiPriority w:val="48"/>
    <w:rPr>
      <w:color w:val="auto"/>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106">
    <w:name w:val="Grid Table 3 Accent 3"/>
    <w:basedOn w:val="34"/>
    <w:qFormat/>
    <w:uiPriority w:val="48"/>
    <w:rPr>
      <w:color w:val="auto"/>
    </w:r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bottom w:val="single" w:color="C8C8C8" w:themeColor="accent3" w:themeTint="99" w:sz="4" w:space="0"/>
        </w:tcBorders>
      </w:tcPr>
    </w:tblStylePr>
    <w:tblStylePr w:type="nwCell">
      <w:tcPr>
        <w:tcBorders>
          <w:bottom w:val="single" w:color="C8C8C8" w:themeColor="accent3" w:themeTint="99" w:sz="4" w:space="0"/>
        </w:tcBorders>
      </w:tcPr>
    </w:tblStylePr>
    <w:tblStylePr w:type="seCell">
      <w:tcPr>
        <w:tcBorders>
          <w:top w:val="single" w:color="C8C8C8" w:themeColor="accent3" w:themeTint="99" w:sz="4" w:space="0"/>
        </w:tcBorders>
      </w:tcPr>
    </w:tblStylePr>
    <w:tblStylePr w:type="swCell">
      <w:tcPr>
        <w:tcBorders>
          <w:top w:val="single" w:color="C8C8C8" w:themeColor="accent3" w:themeTint="99" w:sz="4" w:space="0"/>
        </w:tcBorders>
      </w:tcPr>
    </w:tblStylePr>
  </w:style>
  <w:style w:type="table" w:customStyle="1" w:styleId="107">
    <w:name w:val="Grid Table 3 Accent 1"/>
    <w:basedOn w:val="34"/>
    <w:qFormat/>
    <w:uiPriority w:val="48"/>
    <w:rPr>
      <w:color w:val="auto"/>
    </w:r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1" w:themeFillTint="33"/>
      </w:tcPr>
    </w:tblStylePr>
    <w:tblStylePr w:type="band1Horz">
      <w:tcPr>
        <w:shd w:val="clear" w:color="auto" w:fill="D9E2F3" w:themeFill="accent1" w:themeFillTint="33"/>
      </w:tcPr>
    </w:tblStylePr>
    <w:tblStylePr w:type="neCell">
      <w:tcPr>
        <w:tcBorders>
          <w:bottom w:val="single" w:color="8EAADB" w:themeColor="accent1" w:themeTint="99" w:sz="4" w:space="0"/>
        </w:tcBorders>
      </w:tcPr>
    </w:tblStylePr>
    <w:tblStylePr w:type="nwCell">
      <w:tcPr>
        <w:tcBorders>
          <w:bottom w:val="single" w:color="8EAADB" w:themeColor="accent1" w:themeTint="99" w:sz="4" w:space="0"/>
        </w:tcBorders>
      </w:tcPr>
    </w:tblStylePr>
    <w:tblStylePr w:type="seCell">
      <w:tcPr>
        <w:tcBorders>
          <w:top w:val="single" w:color="8EAADB" w:themeColor="accent1" w:themeTint="99" w:sz="4" w:space="0"/>
        </w:tcBorders>
      </w:tcPr>
    </w:tblStylePr>
    <w:tblStylePr w:type="swCell">
      <w:tcPr>
        <w:tcBorders>
          <w:top w:val="single" w:color="8EAADB" w:themeColor="accent1" w:themeTint="99" w:sz="4" w:space="0"/>
        </w:tcBorders>
      </w:tcPr>
    </w:tblStylePr>
  </w:style>
  <w:style w:type="table" w:customStyle="1" w:styleId="108">
    <w:name w:val="Grid Table 1 Light"/>
    <w:basedOn w:val="34"/>
    <w:qFormat/>
    <w:uiPriority w:val="46"/>
    <w:rPr>
      <w:color w:val="auto"/>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109">
    <w:name w:val="Grid Table 1 Light Accent 1"/>
    <w:basedOn w:val="34"/>
    <w:qFormat/>
    <w:uiPriority w:val="46"/>
    <w:rPr>
      <w:color w:val="auto"/>
    </w:rPr>
    <w:tblPr>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cPr>
        <w:tcBorders>
          <w:bottom w:val="single" w:color="8EAADB" w:themeColor="accent1" w:themeTint="99" w:sz="12" w:space="0"/>
        </w:tcBorders>
      </w:tcPr>
    </w:tblStylePr>
    <w:tblStylePr w:type="lastRow">
      <w:rPr>
        <w:b/>
        <w:bCs/>
      </w:rPr>
      <w:tcPr>
        <w:tcBorders>
          <w:top w:val="double" w:color="8EAADB" w:themeColor="accent1" w:themeTint="99" w:sz="2" w:space="0"/>
        </w:tcBorders>
      </w:tcPr>
    </w:tblStylePr>
    <w:tblStylePr w:type="firstCol">
      <w:rPr>
        <w:b/>
        <w:bCs/>
      </w:rPr>
    </w:tblStylePr>
    <w:tblStylePr w:type="lastCol">
      <w:rPr>
        <w:b/>
        <w:bCs/>
      </w:rPr>
    </w:tblStylePr>
  </w:style>
  <w:style w:type="character" w:customStyle="1" w:styleId="110">
    <w:name w:val="日期 字符"/>
    <w:basedOn w:val="36"/>
    <w:link w:val="19"/>
    <w:semiHidden/>
    <w:qFormat/>
    <w:uiPriority w:val="99"/>
    <w:rPr>
      <w:color w:val="auto"/>
    </w:rPr>
  </w:style>
  <w:style w:type="table" w:customStyle="1" w:styleId="111">
    <w:name w:val="JSAI表格5号小"/>
    <w:basedOn w:val="61"/>
    <w:qFormat/>
    <w:uiPriority w:val="99"/>
    <w:pPr>
      <w:spacing w:line="240" w:lineRule="exact"/>
    </w:pPr>
    <w:rPr>
      <w:sz w:val="18"/>
    </w:rPr>
    <w:tblStylePr w:type="firstRow">
      <w:rPr>
        <w:rFonts w:eastAsia="方正黑体_GBK"/>
      </w:rPr>
    </w:tblStylePr>
    <w:tblStylePr w:type="firstCol">
      <w:rPr>
        <w:rFonts w:eastAsia="方正楷体_GBK"/>
      </w:rPr>
    </w:tblStylePr>
  </w:style>
  <w:style w:type="paragraph" w:customStyle="1" w:styleId="112">
    <w:name w:val="Bibliography"/>
    <w:basedOn w:val="1"/>
    <w:next w:val="1"/>
    <w:unhideWhenUsed/>
    <w:qFormat/>
    <w:uiPriority w:val="37"/>
  </w:style>
  <w:style w:type="paragraph" w:customStyle="1" w:styleId="113">
    <w:name w:val="表格标题5号"/>
    <w:basedOn w:val="1"/>
    <w:qFormat/>
    <w:uiPriority w:val="0"/>
    <w:pPr>
      <w:numPr>
        <w:ilvl w:val="0"/>
        <w:numId w:val="3"/>
      </w:numPr>
      <w:jc w:val="center"/>
    </w:pPr>
    <w:rPr>
      <w:rFonts w:eastAsia="黑体" w:cs="宋体"/>
      <w:color w:val="000000" w:themeColor="text1"/>
      <w:sz w:val="21"/>
      <w:szCs w:val="21"/>
      <w14:textFill>
        <w14:solidFill>
          <w14:schemeClr w14:val="tx1"/>
        </w14:solidFill>
      </w14:textFill>
    </w:rPr>
  </w:style>
  <w:style w:type="paragraph" w:customStyle="1" w:styleId="114">
    <w:name w:val="产品名称，黑体小四"/>
    <w:basedOn w:val="3"/>
    <w:next w:val="1"/>
    <w:qFormat/>
    <w:uiPriority w:val="0"/>
    <w:pPr>
      <w:widowControl w:val="0"/>
      <w:numPr>
        <w:ilvl w:val="0"/>
        <w:numId w:val="4"/>
      </w:numPr>
      <w:tabs>
        <w:tab w:val="clear" w:pos="1134"/>
      </w:tabs>
      <w:adjustRightInd w:val="0"/>
      <w:spacing w:line="360" w:lineRule="exact"/>
      <w:contextualSpacing/>
      <w:jc w:val="both"/>
    </w:pPr>
    <w:rPr>
      <w:rFonts w:ascii="黑体" w:hAnsi="黑体" w:eastAsia="黑体" w:cstheme="majorBidi"/>
      <w:bCs/>
      <w:color w:val="1F4E79" w:themeColor="accent5" w:themeShade="80"/>
      <w:sz w:val="24"/>
      <w:szCs w:val="24"/>
      <w:lang w:val="zh-CN"/>
    </w:rPr>
  </w:style>
  <w:style w:type="table" w:customStyle="1" w:styleId="115">
    <w:name w:val="JSAI三线表5号·居中"/>
    <w:basedOn w:val="34"/>
    <w:qFormat/>
    <w:uiPriority w:val="99"/>
    <w:pPr>
      <w:adjustRightInd w:val="0"/>
      <w:spacing w:line="240" w:lineRule="exact"/>
      <w:jc w:val="center"/>
    </w:pPr>
    <w:rPr>
      <w:rFonts w:eastAsia="仿宋"/>
      <w:color w:val="auto"/>
      <w:sz w:val="21"/>
    </w:rPr>
    <w:tblPr>
      <w:jc w:val="center"/>
      <w:tblBorders>
        <w:top w:val="dotted" w:color="auto" w:sz="4" w:space="0"/>
        <w:bottom w:val="single" w:color="auto" w:sz="4" w:space="0"/>
        <w:insideH w:val="dotted" w:color="auto" w:sz="4" w:space="0"/>
        <w:insideV w:val="dotted" w:color="auto" w:sz="4" w:space="0"/>
      </w:tblBorders>
      <w:tblCellMar>
        <w:top w:w="57" w:type="dxa"/>
        <w:left w:w="57" w:type="dxa"/>
        <w:bottom w:w="57" w:type="dxa"/>
        <w:right w:w="57" w:type="dxa"/>
      </w:tblCellMar>
    </w:tblPr>
    <w:trPr>
      <w:jc w:val="center"/>
    </w:trPr>
    <w:tcPr>
      <w:shd w:val="clear" w:color="auto" w:fill="auto"/>
      <w:vAlign w:val="center"/>
    </w:tcPr>
    <w:tblStylePr w:type="firstRow">
      <w:pPr>
        <w:wordWrap/>
        <w:spacing w:line="240" w:lineRule="exact"/>
        <w:jc w:val="center"/>
      </w:pPr>
      <w:rPr>
        <w:rFonts w:ascii="Times New Roman" w:hAnsi="Times New Roman" w:eastAsia="黑体"/>
        <w:b w:val="0"/>
        <w:i w:val="0"/>
        <w:color w:val="auto"/>
        <w:sz w:val="21"/>
      </w:rPr>
      <w:tblPr>
        <w:jc w:val="center"/>
      </w:tblPr>
      <w:trPr>
        <w:jc w:val="center"/>
      </w:trPr>
      <w:tcPr>
        <w:tcBorders>
          <w:top w:val="single" w:color="auto" w:sz="6" w:space="0"/>
          <w:left w:val="nil"/>
          <w:bottom w:val="single" w:color="auto" w:sz="4" w:space="0"/>
          <w:right w:val="nil"/>
          <w:insideH w:val="dotted" w:sz="4" w:space="0"/>
          <w:insideV w:val="dotted" w:sz="4" w:space="0"/>
          <w:tl2br w:val="nil"/>
          <w:tr2bl w:val="nil"/>
        </w:tcBorders>
        <w:shd w:val="clear" w:color="auto" w:fill="auto"/>
        <w:vAlign w:val="center"/>
      </w:tcPr>
    </w:tblStylePr>
    <w:tblStylePr w:type="lastRow">
      <w:tcPr>
        <w:tcBorders>
          <w:top w:val="nil"/>
          <w:bottom w:val="single" w:color="auto" w:sz="4" w:space="0"/>
        </w:tcBorders>
        <w:shd w:val="clear" w:color="auto" w:fill="auto"/>
      </w:tcPr>
    </w:tblStylePr>
    <w:tblStylePr w:type="firstCol">
      <w:pPr>
        <w:jc w:val="center"/>
      </w:pPr>
      <w:rPr>
        <w:rFonts w:ascii="Times New Roman" w:hAnsi="Times New Roman" w:eastAsia="楷体"/>
        <w:b w:val="0"/>
        <w:i w:val="0"/>
        <w:color w:val="auto"/>
        <w:sz w:val="21"/>
      </w:rPr>
      <w:tcPr>
        <w:tcBorders>
          <w:top w:val="dotted" w:color="auto" w:sz="4" w:space="0"/>
          <w:left w:val="nil"/>
          <w:bottom w:val="single" w:color="auto" w:sz="4" w:space="0"/>
          <w:right w:val="nil"/>
          <w:insideH w:val="dotted" w:sz="4" w:space="0"/>
          <w:insideV w:val="dotted" w:sz="4" w:space="0"/>
        </w:tcBorders>
        <w:shd w:val="clear" w:color="auto" w:fill="auto"/>
      </w:tcPr>
    </w:tblStylePr>
  </w:style>
  <w:style w:type="table" w:customStyle="1" w:styleId="116">
    <w:name w:val="JSAI公文红头"/>
    <w:basedOn w:val="34"/>
    <w:qFormat/>
    <w:uiPriority w:val="99"/>
    <w:pPr>
      <w:jc w:val="center"/>
    </w:pPr>
    <w:rPr>
      <w:color w:val="auto"/>
    </w:rPr>
    <w:tblPr>
      <w:jc w:val="center"/>
      <w:tblBorders>
        <w:bottom w:val="single" w:color="FF0000" w:sz="24" w:space="0"/>
      </w:tblBorders>
      <w:tblCellMar>
        <w:left w:w="0" w:type="dxa"/>
        <w:right w:w="0" w:type="dxa"/>
      </w:tblCellMar>
    </w:tblPr>
    <w:trPr>
      <w:jc w:val="center"/>
    </w:trPr>
    <w:tcPr>
      <w:vAlign w:val="center"/>
    </w:tcPr>
    <w:tblStylePr w:type="firstRow">
      <w:pPr>
        <w:wordWrap/>
        <w:spacing w:line="240" w:lineRule="auto"/>
        <w:jc w:val="distribute"/>
      </w:pPr>
      <w:rPr>
        <w:rFonts w:eastAsia="方正小标宋_GBK"/>
        <w:snapToGrid/>
        <w:color w:val="FF0000"/>
        <w:sz w:val="84"/>
        <w14:numSpacing w14:val="default"/>
      </w:rPr>
    </w:tblStylePr>
    <w:tblStylePr w:type="lastRow">
      <w:pPr>
        <w:jc w:val="center"/>
      </w:pPr>
      <w:tcPr>
        <w:vAlign w:val="top"/>
      </w:tcPr>
    </w:tblStylePr>
  </w:style>
  <w:style w:type="table" w:customStyle="1" w:styleId="117">
    <w:name w:val="样式1"/>
    <w:basedOn w:val="34"/>
    <w:qFormat/>
    <w:uiPriority w:val="99"/>
    <w:rPr>
      <w:color w:val="auto"/>
    </w:rPr>
    <w:tblPr>
      <w:jc w:val="center"/>
      <w:tblCellMar>
        <w:left w:w="0" w:type="dxa"/>
        <w:right w:w="0" w:type="dxa"/>
      </w:tblCellMar>
    </w:tblPr>
    <w:trPr>
      <w:jc w:val="center"/>
    </w:trPr>
    <w:tblStylePr w:type="firstRow">
      <w:pPr>
        <w:wordWrap/>
        <w:spacing w:line="240" w:lineRule="auto"/>
        <w:jc w:val="distribute"/>
      </w:pPr>
      <w:rPr>
        <w:rFonts w:eastAsia="方正小标宋_GBK"/>
        <w:b w:val="0"/>
        <w:i w:val="0"/>
        <w:color w:val="FF0000"/>
        <w:sz w:val="84"/>
      </w:rPr>
      <w:tcPr>
        <w:tcBorders>
          <w:bottom w:val="thinThickSmallGap" w:color="FF0000" w:sz="24" w:space="0"/>
        </w:tcBorders>
      </w:tcPr>
    </w:tblStylePr>
    <w:tblStylePr w:type="lastRow">
      <w:pPr>
        <w:wordWrap/>
        <w:spacing w:line="240" w:lineRule="auto"/>
        <w:jc w:val="left"/>
      </w:pPr>
      <w:tcPr>
        <w:vAlign w:val="bottom"/>
      </w:tcPr>
    </w:tblStylePr>
  </w:style>
  <w:style w:type="table" w:customStyle="1" w:styleId="118">
    <w:name w:val="JSAI表单5号彩色"/>
    <w:basedOn w:val="98"/>
    <w:qFormat/>
    <w:uiPriority w:val="99"/>
    <w:tblStylePr w:type="firstRow">
      <w:rPr>
        <w:rFonts w:eastAsia="方正黑体_GBK"/>
      </w:rPr>
      <w:tcPr>
        <w:shd w:val="clear" w:color="auto" w:fill="D8D8D8" w:themeFill="background1" w:themeFillShade="D9"/>
      </w:tcPr>
    </w:tblStylePr>
    <w:tblStylePr w:type="lastRow">
      <w:tcPr>
        <w:shd w:val="clear" w:color="auto" w:fill="D8D8D8" w:themeFill="background1" w:themeFillShade="D9"/>
      </w:tcPr>
    </w:tblStylePr>
    <w:tblStylePr w:type="firstCol">
      <w:rPr>
        <w:rFonts w:eastAsia="楷体"/>
      </w:rPr>
      <w:tcPr>
        <w:shd w:val="clear" w:color="auto" w:fill="D8D8D8" w:themeFill="background1" w:themeFillShade="D9"/>
      </w:tcPr>
    </w:tblStylePr>
    <w:tblStylePr w:type="band1Horz">
      <w:tcPr>
        <w:shd w:val="clear" w:color="auto" w:fill="DEEAF6" w:themeFill="accent5" w:themeFillTint="33"/>
      </w:tcPr>
    </w:tblStylePr>
    <w:tblStylePr w:type="band2Horz">
      <w:tcPr>
        <w:shd w:val="clear" w:color="auto" w:fill="E2EFD9" w:themeFill="accent6" w:themeFillTint="33"/>
      </w:tcPr>
    </w:tblStylePr>
  </w:style>
  <w:style w:type="table" w:customStyle="1" w:styleId="119">
    <w:name w:val="JSAI表单4号"/>
    <w:basedOn w:val="81"/>
    <w:qFormat/>
    <w:uiPriority w:val="99"/>
    <w:rPr>
      <w:rFonts w:eastAsia="仿宋"/>
    </w:rPr>
    <w:tblStylePr w:type="firstRow">
      <w:rPr>
        <w:rFonts w:eastAsia="黑体"/>
      </w:rPr>
    </w:tblStylePr>
    <w:tblStylePr w:type="firstCol">
      <w:rPr>
        <w:rFonts w:eastAsia="楷体"/>
      </w:rPr>
    </w:tblStylePr>
  </w:style>
  <w:style w:type="table" w:customStyle="1" w:styleId="120">
    <w:name w:val="JSAI表单4号小"/>
    <w:basedOn w:val="34"/>
    <w:qFormat/>
    <w:uiPriority w:val="99"/>
    <w:pPr>
      <w:adjustRightInd w:val="0"/>
      <w:spacing w:line="320" w:lineRule="exact"/>
      <w:jc w:val="both"/>
    </w:pPr>
    <w:rPr>
      <w:rFonts w:eastAsia="仿宋"/>
      <w:color w:val="auto"/>
      <w:sz w:val="24"/>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trPr>
      <w:jc w:val="center"/>
    </w:trPr>
    <w:tcPr>
      <w:shd w:val="clear" w:color="auto" w:fill="auto"/>
      <w:vAlign w:val="center"/>
    </w:tcPr>
    <w:tblStylePr w:type="firstRow">
      <w:pPr>
        <w:wordWrap/>
        <w:spacing w:line="280" w:lineRule="exact"/>
        <w:jc w:val="center"/>
      </w:pPr>
      <w:rPr>
        <w:rFonts w:ascii="Times New Roman" w:hAnsi="Times New Roman" w:eastAsia="黑体"/>
        <w:b w:val="0"/>
        <w:i w:val="0"/>
        <w:color w:val="auto"/>
        <w:sz w:val="24"/>
      </w:rPr>
      <w:tblPr>
        <w:jc w:val="center"/>
      </w:tblPr>
      <w:trPr>
        <w:jc w:val="center"/>
      </w:trPr>
      <w:tcPr>
        <w:vAlign w:val="center"/>
      </w:tcPr>
    </w:tblStylePr>
    <w:tblStylePr w:type="firstCol">
      <w:pPr>
        <w:wordWrap/>
        <w:spacing w:line="320" w:lineRule="exact"/>
        <w:jc w:val="center"/>
      </w:pPr>
      <w:rPr>
        <w:rFonts w:ascii="Times New Roman" w:hAnsi="Times New Roman" w:eastAsia="楷体"/>
        <w:b w:val="0"/>
        <w:i w:val="0"/>
        <w:color w:val="auto"/>
        <w:sz w:val="24"/>
      </w:rPr>
      <w:tcPr>
        <w:tcBorders>
          <w:top w:val="single" w:color="auto" w:sz="4" w:space="0"/>
          <w:left w:val="single" w:color="auto" w:sz="4" w:space="0"/>
          <w:bottom w:val="single" w:color="auto" w:sz="4" w:space="0"/>
          <w:right w:val="single" w:color="auto" w:sz="4" w:space="0"/>
          <w:insideH w:val="single" w:sz="4" w:space="0"/>
          <w:insideV w:val="single" w:sz="4" w:space="0"/>
        </w:tcBorders>
        <w:shd w:val="clear" w:color="auto" w:fill="auto"/>
      </w:tcPr>
    </w:tblStylePr>
  </w:style>
  <w:style w:type="paragraph" w:customStyle="1" w:styleId="121">
    <w:name w:val="_Style 16"/>
    <w:basedOn w:val="1"/>
    <w:qFormat/>
    <w:uiPriority w:val="0"/>
    <w:pPr>
      <w:widowControl/>
      <w:spacing w:after="160" w:afterLines="0" w:line="240" w:lineRule="exact"/>
      <w:jc w:val="left"/>
    </w:pPr>
  </w:style>
  <w:style w:type="paragraph" w:customStyle="1" w:styleId="122">
    <w:name w:val="JSAI公文正文3号缩进"/>
    <w:basedOn w:val="1"/>
    <w:qFormat/>
    <w:uiPriority w:val="0"/>
    <w:pPr>
      <w:ind w:firstLine="594" w:firstLineChars="200"/>
      <w:jc w:val="both"/>
    </w:pPr>
    <w:rPr>
      <w:color w:val="000000" w:themeColor="text1"/>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tmp\webword_4253562512\C:\data\weboffice\tmp\webword_3511900458\C:\Users\fangwei\Library\Containers\com.tencent.WeWorkMac\Data\WeDrive\&#27743;&#33487;&#30465;&#20154;&#24037;&#26234;&#33021;&#23398;&#20250;\&#12304;&#20844;&#20849;&#24037;&#20316;&#21488;2022&#12305;\&#12304;&#20844;&#20849;&#20449;&#24687;&#12305;\&#12304;JSAI&#20844;&#25991;&#27169;&#29256;&#12305;\&#12304;JSAI&#27169;&#26495;&#183;DOC&#12305;\&#12304;JSAI&#27169;&#29256;&#183;&#20844;&#25991;&#12305;\&#27169;&#26495;&#25991;&#20214;\&#12304;2022&#12305;JSAI&#20844;&#25991;&#183;&#27169;&#29256;&#183;&#27597;&#29256;&#65288;MS&#183;GBK&#65289;V5.0.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江苏省人工智能学会（JSAI）</Company>
  <Pages>12</Pages>
  <Words>4748</Words>
  <Characters>30935</Characters>
  <Lines>45</Lines>
  <Paragraphs>42</Paragraphs>
  <TotalTime>1134</TotalTime>
  <ScaleCrop>false</ScaleCrop>
  <LinksUpToDate>false</LinksUpToDate>
  <CharactersWithSpaces>35497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2023-01-03T11:49:00Z</dcterms:created>
  <dc:creator>Microsoft Office User</dc:creator>
  <dc:description>JSAI2025</dc:description>
  <cp:lastModifiedBy>袁静馨</cp:lastModifiedBy>
  <cp:lastPrinted>2024-03-15T00:44:00Z</cp:lastPrinted>
  <dcterms:modified xsi:type="dcterms:W3CDTF">2026-09-29T00:53:46Z</dcterms:modified>
  <dc:title>JSAI2025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4C248E2BE7D6403CA9B8FBD2B84CF818_13</vt:lpwstr>
  </property>
  <property fmtid="{D5CDD505-2E9C-101B-9397-08002B2CF9AE}" pid="4" name="KSOTemplateDocerSaveRecord">
    <vt:lpwstr>eyJoZGlkIjoiMGUxYjExZWNlYmIzM2EzN2FmMTM4YTJjMTIyN2ZmMGIiLCJ1c2VySWQiOiIxNTU3NDI1NDU2In0=</vt:lpwstr>
  </property>
</Properties>
</file>